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color w:val="000000" w:themeColor="text1"/>
          <w:sz w:val="32"/>
          <w:szCs w:val="36"/>
        </w:rPr>
      </w:pPr>
      <w:r>
        <w:rPr>
          <w:rFonts w:ascii="Times New Roman" w:hAnsi="Times New Roman" w:eastAsia="黑体" w:cs="Times New Roman"/>
          <w:color w:val="000000" w:themeColor="text1"/>
          <w:sz w:val="32"/>
          <w:szCs w:val="36"/>
        </w:rPr>
        <w:t>附件2</w:t>
      </w:r>
    </w:p>
    <w:p>
      <w:pPr>
        <w:spacing w:before="120" w:beforeLines="50" w:after="240" w:afterLines="100" w:line="600" w:lineRule="exact"/>
        <w:jc w:val="center"/>
        <w:rPr>
          <w:rFonts w:ascii="Times New Roman" w:hAnsi="Times New Roman" w:eastAsia="方正小标宋简体"/>
          <w:color w:val="000000" w:themeColor="text1"/>
          <w:sz w:val="44"/>
          <w:szCs w:val="44"/>
        </w:rPr>
      </w:pPr>
      <w:r>
        <w:rPr>
          <w:rFonts w:hint="eastAsia" w:ascii="Times New Roman" w:hAnsi="Times New Roman" w:eastAsia="方正小标宋简体"/>
          <w:color w:val="000000" w:themeColor="text1"/>
          <w:sz w:val="44"/>
          <w:szCs w:val="44"/>
        </w:rPr>
        <w:t>第四批新时代高校党建“双创”工作重点任务指南（院&lt;系&gt;党组织）</w:t>
      </w:r>
    </w:p>
    <w:tbl>
      <w:tblPr>
        <w:tblStyle w:val="9"/>
        <w:tblW w:w="1432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9"/>
        <w:gridCol w:w="3402"/>
        <w:gridCol w:w="9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9" w:type="dxa"/>
            <w:vAlign w:val="center"/>
          </w:tcPr>
          <w:p>
            <w:pPr>
              <w:snapToGrid w:val="0"/>
              <w:spacing w:line="360" w:lineRule="atLeast"/>
              <w:jc w:val="center"/>
              <w:rPr>
                <w:rFonts w:ascii="Times New Roman" w:hAnsi="Times New Roman" w:eastAsia="黑体"/>
                <w:color w:val="000000" w:themeColor="text1"/>
                <w:sz w:val="24"/>
                <w:szCs w:val="24"/>
              </w:rPr>
            </w:pPr>
            <w:bookmarkStart w:id="0" w:name="_GoBack"/>
            <w:bookmarkEnd w:id="0"/>
            <w:r>
              <w:rPr>
                <w:rFonts w:hint="eastAsia" w:ascii="Times New Roman" w:hAnsi="Times New Roman" w:eastAsia="黑体"/>
                <w:color w:val="000000" w:themeColor="text1"/>
                <w:sz w:val="24"/>
                <w:szCs w:val="24"/>
              </w:rPr>
              <w:t>一级指标</w:t>
            </w:r>
          </w:p>
        </w:tc>
        <w:tc>
          <w:tcPr>
            <w:tcW w:w="3402" w:type="dxa"/>
            <w:vAlign w:val="center"/>
          </w:tcPr>
          <w:p>
            <w:pPr>
              <w:snapToGrid w:val="0"/>
              <w:spacing w:line="360" w:lineRule="atLeast"/>
              <w:jc w:val="center"/>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二级指标</w:t>
            </w:r>
          </w:p>
        </w:tc>
        <w:tc>
          <w:tcPr>
            <w:tcW w:w="9334" w:type="dxa"/>
            <w:vAlign w:val="center"/>
          </w:tcPr>
          <w:p>
            <w:pPr>
              <w:snapToGrid w:val="0"/>
              <w:spacing w:line="360" w:lineRule="atLeast"/>
              <w:jc w:val="center"/>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89" w:type="dxa"/>
            <w:vMerge w:val="restart"/>
            <w:vAlign w:val="center"/>
          </w:tcPr>
          <w:p>
            <w:pPr>
              <w:spacing w:line="400" w:lineRule="exact"/>
              <w:ind w:left="360" w:hanging="360" w:hangingChars="1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1. 党组织领导和运行机制到位</w:t>
            </w:r>
          </w:p>
        </w:tc>
        <w:tc>
          <w:tcPr>
            <w:tcW w:w="3402" w:type="dxa"/>
            <w:tcBorders>
              <w:bottom w:val="single" w:color="auto" w:sz="4" w:space="0"/>
            </w:tcBorders>
            <w:vAlign w:val="center"/>
          </w:tcPr>
          <w:p>
            <w:pPr>
              <w:spacing w:line="400" w:lineRule="exact"/>
              <w:ind w:left="360" w:hanging="360" w:hangingChars="1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1.1党的路线方针政策和上级党组织决定有效宣传贯彻执行，保证监督作用充分发挥</w:t>
            </w:r>
          </w:p>
        </w:tc>
        <w:tc>
          <w:tcPr>
            <w:tcW w:w="9334" w:type="dxa"/>
            <w:tcBorders>
              <w:bottom w:val="single" w:color="auto" w:sz="4" w:space="0"/>
            </w:tcBorders>
            <w:vAlign w:val="center"/>
          </w:tcPr>
          <w:p>
            <w:pPr>
              <w:spacing w:line="36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1）坚持以党的政治建设为统领，深化习近平新时代中国特色社会主义思想和党的二十大精神的宣传教育，引导党员、干部和师生深刻领会“两个确立”的决定性意义，不断增强“四个意识”，坚定“四个自信”，做到“两个维护”，在思想上政治上行动上同以习近平同志为核心的党中央保持高度一致。</w:t>
            </w:r>
          </w:p>
          <w:p>
            <w:pPr>
              <w:spacing w:line="36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（2）</w:t>
            </w:r>
            <w:r>
              <w:rPr>
                <w:rFonts w:ascii="Times New Roman" w:hAnsi="Times New Roman" w:eastAsia="仿宋_GB2312"/>
                <w:color w:val="000000" w:themeColor="text1"/>
                <w:sz w:val="24"/>
                <w:szCs w:val="24"/>
              </w:rPr>
              <w:t>院（系）级单位党组织</w:t>
            </w:r>
            <w:r>
              <w:rPr>
                <w:rFonts w:hint="eastAsia" w:ascii="Times New Roman" w:hAnsi="Times New Roman" w:eastAsia="仿宋_GB2312"/>
                <w:color w:val="000000" w:themeColor="text1"/>
                <w:sz w:val="24"/>
                <w:szCs w:val="24"/>
              </w:rPr>
              <w:t>切实</w:t>
            </w:r>
            <w:r>
              <w:rPr>
                <w:rFonts w:ascii="Times New Roman" w:hAnsi="Times New Roman" w:eastAsia="仿宋_GB2312"/>
                <w:color w:val="000000" w:themeColor="text1"/>
                <w:sz w:val="24"/>
                <w:szCs w:val="24"/>
              </w:rPr>
              <w:t>强化政治功能，履行政治责任</w:t>
            </w:r>
            <w:r>
              <w:rPr>
                <w:rFonts w:hint="eastAsia" w:ascii="Times New Roman" w:hAnsi="Times New Roman" w:eastAsia="仿宋_GB2312"/>
                <w:color w:val="000000" w:themeColor="text1"/>
                <w:sz w:val="24"/>
                <w:szCs w:val="24"/>
              </w:rPr>
              <w:t>，通过党组织会议、党政联席会议等形式及时传达部署、认真贯彻落实上级党组织决议。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89" w:type="dxa"/>
            <w:vMerge w:val="continue"/>
            <w:vAlign w:val="center"/>
          </w:tcPr>
          <w:p>
            <w:pPr>
              <w:spacing w:line="400" w:lineRule="exact"/>
              <w:rPr>
                <w:rFonts w:ascii="Times New Roman" w:hAnsi="Times New Roman" w:eastAsia="仿宋_GB2312"/>
                <w:color w:val="000000" w:themeColor="text1"/>
                <w:sz w:val="24"/>
                <w:szCs w:val="24"/>
              </w:rPr>
            </w:pPr>
          </w:p>
        </w:tc>
        <w:tc>
          <w:tcPr>
            <w:tcW w:w="3402" w:type="dxa"/>
            <w:tcBorders>
              <w:top w:val="single" w:color="auto" w:sz="4" w:space="0"/>
            </w:tcBorders>
            <w:vAlign w:val="center"/>
          </w:tcPr>
          <w:p>
            <w:pPr>
              <w:spacing w:line="400" w:lineRule="exact"/>
              <w:ind w:left="360" w:hanging="360" w:hangingChars="1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1.2坚持民主集中制，健全完善院（系）党组织会议和党政联席会议制度，领导班子整体功能强，议事决策水平高</w:t>
            </w:r>
          </w:p>
        </w:tc>
        <w:tc>
          <w:tcPr>
            <w:tcW w:w="9334" w:type="dxa"/>
            <w:tcBorders>
              <w:top w:val="single" w:color="auto" w:sz="4" w:space="0"/>
            </w:tcBorders>
            <w:vAlign w:val="center"/>
          </w:tcPr>
          <w:p>
            <w:pPr>
              <w:spacing w:line="36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（1）对照中组部、教育部修订的示范文本，修订完善院（系）党组织会议、党政联席会议议事规则，确保职责清晰、边界明确、执行到位。</w:t>
            </w:r>
          </w:p>
          <w:p>
            <w:pPr>
              <w:spacing w:line="36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2）通过党政联席会议，讨论和决定本单位重要事项。充分发挥对党建工作的主导作用，有关干部任用、党员队伍建设等工作由党组织会议研究决定。充分发挥对重大事项的把关作用，涉及办学方向、教师队伍建设、师生员工切身利益等事项，党组织先研究讨论再提交党政联席会议决定。</w:t>
            </w:r>
          </w:p>
          <w:p>
            <w:pPr>
              <w:spacing w:line="36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（3）班子成员工作职责明晰，集体领导、党政分工合作、协调运行的工作机制顺畅有效，统筹谋划、科学决策院（系）改革发展稳定和涉及师生切身利益的重大事项，推动院（系）事业发展取得显著成绩。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9" w:type="dxa"/>
            <w:vAlign w:val="center"/>
          </w:tcPr>
          <w:p>
            <w:pPr>
              <w:snapToGrid w:val="0"/>
              <w:spacing w:line="360" w:lineRule="atLeast"/>
              <w:jc w:val="center"/>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一级指标</w:t>
            </w:r>
          </w:p>
        </w:tc>
        <w:tc>
          <w:tcPr>
            <w:tcW w:w="3402" w:type="dxa"/>
            <w:vAlign w:val="center"/>
          </w:tcPr>
          <w:p>
            <w:pPr>
              <w:snapToGrid w:val="0"/>
              <w:spacing w:line="360" w:lineRule="atLeast"/>
              <w:jc w:val="center"/>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二级指标</w:t>
            </w:r>
          </w:p>
        </w:tc>
        <w:tc>
          <w:tcPr>
            <w:tcW w:w="9334" w:type="dxa"/>
            <w:vAlign w:val="center"/>
          </w:tcPr>
          <w:p>
            <w:pPr>
              <w:snapToGrid w:val="0"/>
              <w:spacing w:line="360" w:lineRule="atLeast"/>
              <w:jc w:val="center"/>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7" w:hRule="atLeast"/>
        </w:trPr>
        <w:tc>
          <w:tcPr>
            <w:tcW w:w="1589" w:type="dxa"/>
            <w:vMerge w:val="restart"/>
            <w:vAlign w:val="center"/>
          </w:tcPr>
          <w:p>
            <w:pPr>
              <w:spacing w:line="400" w:lineRule="exact"/>
              <w:ind w:left="360" w:hanging="360" w:hangingChars="1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2. 政治把关作用到位</w:t>
            </w:r>
          </w:p>
        </w:tc>
        <w:tc>
          <w:tcPr>
            <w:tcW w:w="3402" w:type="dxa"/>
            <w:vAlign w:val="center"/>
          </w:tcPr>
          <w:p>
            <w:pPr>
              <w:spacing w:line="400" w:lineRule="exact"/>
              <w:ind w:left="360" w:hanging="360" w:hangingChars="1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2.1严格落实意识形态工作责任制，在教学科研管理等重大事项中，坚持正确的政治立场、政治方向、政治原则、政治道路</w:t>
            </w:r>
          </w:p>
        </w:tc>
        <w:tc>
          <w:tcPr>
            <w:tcW w:w="9334" w:type="dxa"/>
            <w:vAlign w:val="center"/>
          </w:tcPr>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（1）意识形态工作体系健全、制度规范、责任明晰，落实到岗到人。每年至少专题研究2次意识形态工作，并向上级党组织专题汇报1次。</w:t>
            </w:r>
          </w:p>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（2）网络意识形态责任落实到位，注重增强风险防控意识和能力，加强网络阵地管理，做强正面思想舆论，做好舆论引导、舆情应对工作。</w:t>
            </w:r>
          </w:p>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（3）在教师招聘引进、职称评审、岗位聘用、导师遴选、评优奖励、聘期考核、项目申报等工作中充分发挥政治把关作用，程序规范、责任明晰、成效突出。</w:t>
            </w:r>
          </w:p>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（4）发挥在维护主流意识形态中的战斗堡垒作用，发挥广大教职工特别是党员教师在维护主流意识形态中的先锋模范作用。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3" w:hRule="atLeast"/>
        </w:trPr>
        <w:tc>
          <w:tcPr>
            <w:tcW w:w="1589" w:type="dxa"/>
            <w:vMerge w:val="continue"/>
            <w:vAlign w:val="center"/>
          </w:tcPr>
          <w:p>
            <w:pPr>
              <w:spacing w:line="400" w:lineRule="exact"/>
              <w:rPr>
                <w:rFonts w:ascii="Times New Roman" w:hAnsi="Times New Roman" w:eastAsia="仿宋_GB2312"/>
                <w:color w:val="000000" w:themeColor="text1"/>
                <w:sz w:val="24"/>
                <w:szCs w:val="24"/>
              </w:rPr>
            </w:pPr>
          </w:p>
        </w:tc>
        <w:tc>
          <w:tcPr>
            <w:tcW w:w="3402" w:type="dxa"/>
            <w:tcBorders>
              <w:top w:val="single" w:color="auto" w:sz="4" w:space="0"/>
            </w:tcBorders>
            <w:vAlign w:val="center"/>
          </w:tcPr>
          <w:p>
            <w:pPr>
              <w:spacing w:line="400" w:lineRule="exact"/>
              <w:ind w:left="360" w:hanging="360" w:hangingChars="1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2.2加强对院（系）学术组织、研究机构、学生社团等的引导，管好各类宣传思想文化阵地</w:t>
            </w:r>
          </w:p>
        </w:tc>
        <w:tc>
          <w:tcPr>
            <w:tcW w:w="9334" w:type="dxa"/>
            <w:tcBorders>
              <w:top w:val="single" w:color="auto" w:sz="4" w:space="0"/>
            </w:tcBorders>
            <w:vAlign w:val="center"/>
          </w:tcPr>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（1）院（系）党组织定期研究学术组织、研究机构、学生社团建设发展工作，明确专门院（系）领导或党员干部联系指导开展工作。</w:t>
            </w:r>
          </w:p>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（2）严格执行“一会一报”“一事一报”制度，加强对论坛、讲坛、讲座、年会、报告会、研讨会等审批把关、指导管理。</w:t>
            </w:r>
          </w:p>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（3）统筹课堂教学、教材建设、项目资助、对外交流等工作，着力做好少数民族学生教育、国际学生教育等工作，确保学校和谐稳定。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9" w:type="dxa"/>
            <w:vAlign w:val="center"/>
          </w:tcPr>
          <w:p>
            <w:pPr>
              <w:snapToGrid w:val="0"/>
              <w:spacing w:line="360" w:lineRule="atLeast"/>
              <w:jc w:val="center"/>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一级指标</w:t>
            </w:r>
          </w:p>
        </w:tc>
        <w:tc>
          <w:tcPr>
            <w:tcW w:w="3402" w:type="dxa"/>
            <w:vAlign w:val="center"/>
          </w:tcPr>
          <w:p>
            <w:pPr>
              <w:snapToGrid w:val="0"/>
              <w:spacing w:line="360" w:lineRule="atLeast"/>
              <w:jc w:val="center"/>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二级指标</w:t>
            </w:r>
          </w:p>
        </w:tc>
        <w:tc>
          <w:tcPr>
            <w:tcW w:w="9334" w:type="dxa"/>
            <w:vAlign w:val="center"/>
          </w:tcPr>
          <w:p>
            <w:pPr>
              <w:snapToGrid w:val="0"/>
              <w:spacing w:line="360" w:lineRule="atLeast"/>
              <w:jc w:val="center"/>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3" w:hRule="atLeast"/>
        </w:trPr>
        <w:tc>
          <w:tcPr>
            <w:tcW w:w="1589" w:type="dxa"/>
            <w:vAlign w:val="center"/>
          </w:tcPr>
          <w:p>
            <w:pPr>
              <w:spacing w:line="400" w:lineRule="exact"/>
              <w:ind w:left="360" w:hanging="360" w:hangingChars="1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3. 思想政治工作到位</w:t>
            </w:r>
          </w:p>
        </w:tc>
        <w:tc>
          <w:tcPr>
            <w:tcW w:w="3402" w:type="dxa"/>
            <w:vAlign w:val="center"/>
          </w:tcPr>
          <w:p>
            <w:pPr>
              <w:spacing w:line="400" w:lineRule="exact"/>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院（系）理论学习中心组制度、师生政治理论学习制度健全，习近平新时代中国特色社会主义思想教育深入开展，师生思想政治工作亲和力、针对性、实效性强</w:t>
            </w:r>
          </w:p>
        </w:tc>
        <w:tc>
          <w:tcPr>
            <w:tcW w:w="9334" w:type="dxa"/>
            <w:vAlign w:val="center"/>
          </w:tcPr>
          <w:p>
            <w:pPr>
              <w:spacing w:line="400" w:lineRule="exact"/>
              <w:ind w:left="569" w:hanging="568" w:hangingChars="237"/>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（1）院（系）理论中心组学习制度、师生政治理论学习制度健全完善，扎实推进习近平新时代中国特色社会主义思想进教材、进课堂、进头脑。</w:t>
            </w:r>
          </w:p>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（2）定期调研分析党员和师生思想政治状况，加强师生理想信念教育，强化党员日常教育培训。坚持院（系）党政主要负责同志每学期讲党课和思想政治理论课制度。</w:t>
            </w:r>
          </w:p>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（3）结合院（系）实际，健全立德树人落实机制，完善学生思想政治工作体系，推动“时代新人铸魂工程”具体任务落地落实，充分发挥“大思政课”作用，形成全员全过程全方位育人的良好氛围和工作机制。</w:t>
            </w:r>
          </w:p>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4）健全教师学习制度，组织教师每周开展1次集中学习、每月开展1次党的创新理论学习，加强专题培养培训，加大革命传统教育、国情社情教育考察、社会实践锻炼等，不断提高教师思想政治素质和育德育人能力，培养“大先生”。</w:t>
            </w:r>
          </w:p>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（5）院（系）党组织履行教师思想政治工作直接责任，做到将教师思想政治工作与业务能力建设相融合。院（系）党组织书记和院长（系主任）自觉承担院（系）教师思想政治工作第一责任人责任。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9" w:type="dxa"/>
            <w:vAlign w:val="center"/>
          </w:tcPr>
          <w:p>
            <w:pPr>
              <w:snapToGrid w:val="0"/>
              <w:spacing w:line="360" w:lineRule="atLeast"/>
              <w:jc w:val="center"/>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一级指标</w:t>
            </w:r>
          </w:p>
        </w:tc>
        <w:tc>
          <w:tcPr>
            <w:tcW w:w="3402" w:type="dxa"/>
            <w:vAlign w:val="center"/>
          </w:tcPr>
          <w:p>
            <w:pPr>
              <w:snapToGrid w:val="0"/>
              <w:spacing w:line="360" w:lineRule="atLeast"/>
              <w:jc w:val="center"/>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二级指标</w:t>
            </w:r>
          </w:p>
        </w:tc>
        <w:tc>
          <w:tcPr>
            <w:tcW w:w="9334" w:type="dxa"/>
            <w:vAlign w:val="center"/>
          </w:tcPr>
          <w:p>
            <w:pPr>
              <w:snapToGrid w:val="0"/>
              <w:spacing w:line="360" w:lineRule="atLeast"/>
              <w:jc w:val="center"/>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3" w:hRule="atLeast"/>
        </w:trPr>
        <w:tc>
          <w:tcPr>
            <w:tcW w:w="1589" w:type="dxa"/>
            <w:vAlign w:val="center"/>
          </w:tcPr>
          <w:p>
            <w:pPr>
              <w:spacing w:line="400" w:lineRule="exact"/>
              <w:ind w:left="360" w:hanging="360" w:hangingChars="1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4. 基层组织制度执行到位</w:t>
            </w:r>
          </w:p>
        </w:tc>
        <w:tc>
          <w:tcPr>
            <w:tcW w:w="3402" w:type="dxa"/>
            <w:vAlign w:val="center"/>
          </w:tcPr>
          <w:p>
            <w:pPr>
              <w:spacing w:line="400" w:lineRule="exact"/>
              <w:ind w:left="360" w:hanging="360" w:hangingChars="1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4.1对师生党支部工作指导推动到位，基层组织设置合理、按期换届</w:t>
            </w:r>
          </w:p>
        </w:tc>
        <w:tc>
          <w:tcPr>
            <w:tcW w:w="9334" w:type="dxa"/>
            <w:vAlign w:val="center"/>
          </w:tcPr>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（1）坚持院（系）党组织班子成员联系教师、学生党支部制度，推动党建各项任务落到基层党支部。</w:t>
            </w:r>
          </w:p>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2）创新优化党支部设置，在按院（系）内设教学科研机构设置教师党支部、按年级班级或学科专业设置学生党支部的基础上，积极探索依托重大项目组、科研平台或者“一站式”学生社区等，以师生结合、专业联合、跨年级整合等方式设置党支部，解决低年级学生党组织“空白点”和对学生政治引领弱化的问题。</w:t>
            </w:r>
          </w:p>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3）严格党支部标准化规范化建设，建立健全党支部工作考核评价办法，完善责任清单，细化责任要求，加强督促检查。开展院（系）软弱涣散党支部整顿工作，建立后进党支部常态化整顿机制，相关支部有效转化、提升达标，取得良好工作成效。</w:t>
            </w:r>
          </w:p>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（4）建立提醒督促机制，所属党支部按期换届，严格按照程序选举党支部委员会和书记、副书记。</w:t>
            </w:r>
          </w:p>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（5）重视和加强教师党支部建设，把教师思想政治素质和师德考评作为教师党支部发挥政治功能和组织功能的重要抓手。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9" w:type="dxa"/>
            <w:vAlign w:val="center"/>
          </w:tcPr>
          <w:p>
            <w:pPr>
              <w:snapToGrid w:val="0"/>
              <w:spacing w:line="360" w:lineRule="atLeast"/>
              <w:jc w:val="center"/>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一级指标</w:t>
            </w:r>
          </w:p>
        </w:tc>
        <w:tc>
          <w:tcPr>
            <w:tcW w:w="3402" w:type="dxa"/>
            <w:vAlign w:val="center"/>
          </w:tcPr>
          <w:p>
            <w:pPr>
              <w:snapToGrid w:val="0"/>
              <w:spacing w:line="360" w:lineRule="atLeast"/>
              <w:jc w:val="center"/>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二级指标</w:t>
            </w:r>
          </w:p>
        </w:tc>
        <w:tc>
          <w:tcPr>
            <w:tcW w:w="9334" w:type="dxa"/>
            <w:vAlign w:val="center"/>
          </w:tcPr>
          <w:p>
            <w:pPr>
              <w:snapToGrid w:val="0"/>
              <w:spacing w:line="360" w:lineRule="atLeast"/>
              <w:jc w:val="center"/>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3" w:hRule="atLeast"/>
        </w:trPr>
        <w:tc>
          <w:tcPr>
            <w:tcW w:w="1589" w:type="dxa"/>
            <w:vMerge w:val="restart"/>
            <w:vAlign w:val="center"/>
          </w:tcPr>
          <w:p>
            <w:pPr>
              <w:spacing w:line="400" w:lineRule="exact"/>
              <w:ind w:left="360" w:hanging="360" w:hangingChars="1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4. 基层组织制度执行到位</w:t>
            </w:r>
          </w:p>
        </w:tc>
        <w:tc>
          <w:tcPr>
            <w:tcW w:w="3402" w:type="dxa"/>
            <w:vAlign w:val="center"/>
          </w:tcPr>
          <w:p>
            <w:pPr>
              <w:spacing w:line="400" w:lineRule="exact"/>
              <w:ind w:left="360" w:hanging="360" w:hangingChars="1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4.2党内集中学习教育、经常性教育有序推进，党内组织生活经常、认真、严肃。教育、管理、监督党员和组织、宣传、凝聚、服务师生工作扎实有力，党务公开、党纪处分、组织处置等制度执行到位</w:t>
            </w:r>
          </w:p>
        </w:tc>
        <w:tc>
          <w:tcPr>
            <w:tcW w:w="9334" w:type="dxa"/>
            <w:vAlign w:val="center"/>
          </w:tcPr>
          <w:p>
            <w:pPr>
              <w:spacing w:line="36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1）巩固深化学习贯彻习近平新时代中国特色社会主义思想主题教育成果，推动党史学习教育常态化长效化，推进“两学一做”学习教育常态化制度化，健全和完善不忘初心、牢记使命的制度。党员领导干部民主生活会、“三会一课”、主题党日和民主评议党员等制度执行严格。党员领导干部按规定参加双重组织生活落实到位。</w:t>
            </w:r>
          </w:p>
          <w:p>
            <w:pPr>
              <w:spacing w:line="36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（2）严格党员日常管理，组织关系管理有序，党费收缴管理使用规范。做好党内统计工作，加强党建工作信息化建设。推动党务公开。</w:t>
            </w:r>
          </w:p>
          <w:p>
            <w:pPr>
              <w:spacing w:line="36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（3）组织师生党员充分发挥先锋模范作用，带头攻坚克难，承担重大改革发展稳定任务，积极做好联系服务群众工作，努力帮助师生解决实际问题。</w:t>
            </w:r>
          </w:p>
          <w:p>
            <w:pPr>
              <w:spacing w:line="36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4）纵深推进全面从严治党，健全党风廉政建设制度，综合运用“四种形态”，重点运用“第一种形态”，加强对师生党员的教育监督管理，对苗头性、倾向性问题，及时咬耳扯袖、督促改正。对违反党规党纪的党员，及时报请上级党组织研究批准，按程序作出党纪处分、组织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9" w:type="dxa"/>
            <w:vMerge w:val="continue"/>
            <w:vAlign w:val="center"/>
          </w:tcPr>
          <w:p>
            <w:pPr>
              <w:spacing w:line="400" w:lineRule="exact"/>
              <w:rPr>
                <w:rFonts w:ascii="Times New Roman" w:hAnsi="Times New Roman" w:eastAsia="仿宋_GB2312"/>
                <w:color w:val="000000" w:themeColor="text1"/>
                <w:sz w:val="24"/>
                <w:szCs w:val="24"/>
              </w:rPr>
            </w:pPr>
          </w:p>
        </w:tc>
        <w:tc>
          <w:tcPr>
            <w:tcW w:w="3402" w:type="dxa"/>
            <w:tcBorders>
              <w:top w:val="single" w:color="auto" w:sz="4" w:space="0"/>
            </w:tcBorders>
            <w:vAlign w:val="center"/>
          </w:tcPr>
          <w:p>
            <w:pPr>
              <w:spacing w:line="400" w:lineRule="exact"/>
              <w:ind w:left="360" w:hanging="360" w:hangingChars="1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4.3师生党支部书记选优配强，“双带头人”教师党支部书记能力全面提升，“头雁效应”有力彰显</w:t>
            </w:r>
          </w:p>
        </w:tc>
        <w:tc>
          <w:tcPr>
            <w:tcW w:w="9334" w:type="dxa"/>
            <w:tcBorders>
              <w:top w:val="single" w:color="auto" w:sz="4" w:space="0"/>
            </w:tcBorders>
            <w:vAlign w:val="center"/>
          </w:tcPr>
          <w:p>
            <w:pPr>
              <w:spacing w:line="36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1）健全教师党支部书记履职尽责、培养培育、管理监督、激励保障、示范带动等机制，在实现“双带头人”教师党支部书记全覆盖的基础上，更加注重队伍质量和工作实效，积极创造条件，引导他们更好地发挥作用。</w:t>
            </w:r>
          </w:p>
          <w:p>
            <w:pPr>
              <w:spacing w:line="36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（2）注重从优秀辅导员、骨干教师、优秀大学生党员中选拔学生党支部书记，选优配强支部委员。</w:t>
            </w:r>
          </w:p>
          <w:p>
            <w:pPr>
              <w:spacing w:line="36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（3）完善党支部书记工作例会等制度，建立健全党支部书记工作考核机制，做好党支部书记抓党建述职评议考核工作。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9" w:type="dxa"/>
            <w:vAlign w:val="center"/>
          </w:tcPr>
          <w:p>
            <w:pPr>
              <w:snapToGrid w:val="0"/>
              <w:spacing w:line="360" w:lineRule="atLeast"/>
              <w:jc w:val="center"/>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一级指标</w:t>
            </w:r>
          </w:p>
        </w:tc>
        <w:tc>
          <w:tcPr>
            <w:tcW w:w="3402" w:type="dxa"/>
            <w:vAlign w:val="center"/>
          </w:tcPr>
          <w:p>
            <w:pPr>
              <w:snapToGrid w:val="0"/>
              <w:spacing w:line="360" w:lineRule="atLeast"/>
              <w:jc w:val="center"/>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二级指标</w:t>
            </w:r>
          </w:p>
        </w:tc>
        <w:tc>
          <w:tcPr>
            <w:tcW w:w="9334" w:type="dxa"/>
            <w:vAlign w:val="center"/>
          </w:tcPr>
          <w:p>
            <w:pPr>
              <w:snapToGrid w:val="0"/>
              <w:spacing w:line="360" w:lineRule="atLeast"/>
              <w:jc w:val="center"/>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8" w:hRule="atLeast"/>
        </w:trPr>
        <w:tc>
          <w:tcPr>
            <w:tcW w:w="1589" w:type="dxa"/>
            <w:vMerge w:val="restart"/>
            <w:vAlign w:val="center"/>
          </w:tcPr>
          <w:p>
            <w:pPr>
              <w:spacing w:line="400" w:lineRule="exact"/>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4. 基层组织制度执行到位</w:t>
            </w:r>
          </w:p>
        </w:tc>
        <w:tc>
          <w:tcPr>
            <w:tcW w:w="3402" w:type="dxa"/>
            <w:tcBorders>
              <w:top w:val="single" w:color="auto" w:sz="4" w:space="0"/>
            </w:tcBorders>
            <w:vAlign w:val="center"/>
          </w:tcPr>
          <w:p>
            <w:pPr>
              <w:spacing w:line="400" w:lineRule="exact"/>
              <w:ind w:left="391" w:hanging="391" w:hangingChars="163"/>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4.4在高层次人才、优秀青年教师和学生中培养入党积极分子、发展党员工作成效明显</w:t>
            </w:r>
          </w:p>
        </w:tc>
        <w:tc>
          <w:tcPr>
            <w:tcW w:w="9334" w:type="dxa"/>
            <w:tcBorders>
              <w:top w:val="single" w:color="auto" w:sz="4" w:space="0"/>
            </w:tcBorders>
            <w:vAlign w:val="center"/>
          </w:tcPr>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（1）按照坚持标准、保证质量、改善结构、慎重发展的方针和有关规定，把政治标准放在首位，加强对入党积极分子、发展对象和预备党员的教育、培养和考察。</w:t>
            </w:r>
          </w:p>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2）探索符合教师群体特点、适应教学科研实际的党员发展规定，建立党员领导干部和党员学术带头人直接联系培养教师入党积极分子制度，主动做好教育引导工作，切实做好在高层次人才、优秀青年教师中发展党员工作。</w:t>
            </w:r>
          </w:p>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3）提高学生党员发展质量，落实团组织“推优”入党制度，避免只看成绩、分数，或简单用答辩、投票等方式考察评价入党积极分子。建立学生入党积极分子接续培养机制，重视发展少数民族学生、本科生入党。</w:t>
            </w:r>
          </w:p>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（4）加强党员队伍管理，让每个师生党员经受严格党内政治生活锻炼，更好发挥先锋模范作用。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1589" w:type="dxa"/>
            <w:vMerge w:val="continue"/>
            <w:vAlign w:val="center"/>
          </w:tcPr>
          <w:p>
            <w:pPr>
              <w:spacing w:line="400" w:lineRule="exact"/>
              <w:rPr>
                <w:rFonts w:ascii="Times New Roman" w:hAnsi="Times New Roman" w:eastAsia="仿宋_GB2312"/>
                <w:color w:val="000000" w:themeColor="text1"/>
                <w:sz w:val="24"/>
                <w:szCs w:val="24"/>
              </w:rPr>
            </w:pPr>
          </w:p>
        </w:tc>
        <w:tc>
          <w:tcPr>
            <w:tcW w:w="3402" w:type="dxa"/>
            <w:tcBorders>
              <w:top w:val="single" w:color="auto" w:sz="4" w:space="0"/>
            </w:tcBorders>
            <w:vAlign w:val="center"/>
          </w:tcPr>
          <w:p>
            <w:pPr>
              <w:spacing w:line="400" w:lineRule="exact"/>
              <w:ind w:left="391" w:hanging="391" w:hangingChars="163"/>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4.5专职组织员配齐配强</w:t>
            </w:r>
          </w:p>
        </w:tc>
        <w:tc>
          <w:tcPr>
            <w:tcW w:w="9334" w:type="dxa"/>
            <w:tcBorders>
              <w:top w:val="single" w:color="auto" w:sz="4" w:space="0"/>
            </w:tcBorders>
            <w:vAlign w:val="center"/>
          </w:tcPr>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（1）推进组织员队伍建设，至少配备1至2名专职组织员。</w:t>
            </w:r>
          </w:p>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（2）加强组织员培养培训，充分发挥他们在基层党建、党员发展、党内监督等方面的专职专责作用。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9" w:type="dxa"/>
            <w:vAlign w:val="center"/>
          </w:tcPr>
          <w:p>
            <w:pPr>
              <w:snapToGrid w:val="0"/>
              <w:spacing w:line="360" w:lineRule="atLeast"/>
              <w:jc w:val="center"/>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一级指标</w:t>
            </w:r>
          </w:p>
        </w:tc>
        <w:tc>
          <w:tcPr>
            <w:tcW w:w="3402" w:type="dxa"/>
            <w:vAlign w:val="center"/>
          </w:tcPr>
          <w:p>
            <w:pPr>
              <w:snapToGrid w:val="0"/>
              <w:spacing w:line="360" w:lineRule="atLeast"/>
              <w:jc w:val="center"/>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二级指标</w:t>
            </w:r>
          </w:p>
        </w:tc>
        <w:tc>
          <w:tcPr>
            <w:tcW w:w="9334" w:type="dxa"/>
            <w:vAlign w:val="center"/>
          </w:tcPr>
          <w:p>
            <w:pPr>
              <w:snapToGrid w:val="0"/>
              <w:spacing w:line="360" w:lineRule="atLeast"/>
              <w:jc w:val="center"/>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trPr>
        <w:tc>
          <w:tcPr>
            <w:tcW w:w="1589" w:type="dxa"/>
            <w:vMerge w:val="restart"/>
            <w:vAlign w:val="center"/>
          </w:tcPr>
          <w:p>
            <w:pPr>
              <w:spacing w:line="400" w:lineRule="exact"/>
              <w:ind w:left="360" w:hanging="360" w:hangingChars="1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5. 党建工作与事业发展融合到位</w:t>
            </w:r>
          </w:p>
        </w:tc>
        <w:tc>
          <w:tcPr>
            <w:tcW w:w="3402" w:type="dxa"/>
            <w:vAlign w:val="center"/>
          </w:tcPr>
          <w:p>
            <w:pPr>
              <w:spacing w:line="400" w:lineRule="exact"/>
              <w:ind w:left="360" w:hanging="360" w:hangingChars="1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5.1谋划推进、保障落实人才培养、学科建设、科研管理等重大改革、重要事项、重点安排坚强有力</w:t>
            </w:r>
          </w:p>
        </w:tc>
        <w:tc>
          <w:tcPr>
            <w:tcW w:w="9334" w:type="dxa"/>
            <w:vAlign w:val="center"/>
          </w:tcPr>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（1）强化院（系）党组织政治功能和组织功能，充分发挥政治引领、思想凝聚、组织保证等作用，深入谋划部署、扎实推进落实院（系）党的建设与事业发展深度融合，以高质量党建引领高质量发展。</w:t>
            </w:r>
          </w:p>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（2）做好组织、宣传、凝聚、服务师生工作，团结凝聚、引领带动师生积极投身院（系）重大改革、重要事项、重点安排，取得优异成绩。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1589" w:type="dxa"/>
            <w:vMerge w:val="continue"/>
            <w:vAlign w:val="center"/>
          </w:tcPr>
          <w:p>
            <w:pPr>
              <w:spacing w:line="400" w:lineRule="exact"/>
              <w:rPr>
                <w:rFonts w:ascii="Times New Roman" w:hAnsi="Times New Roman" w:eastAsia="仿宋_GB2312"/>
                <w:color w:val="000000" w:themeColor="text1"/>
                <w:sz w:val="24"/>
                <w:szCs w:val="24"/>
              </w:rPr>
            </w:pPr>
          </w:p>
        </w:tc>
        <w:tc>
          <w:tcPr>
            <w:tcW w:w="3402" w:type="dxa"/>
            <w:tcBorders>
              <w:top w:val="single" w:color="auto" w:sz="4" w:space="0"/>
            </w:tcBorders>
            <w:vAlign w:val="center"/>
          </w:tcPr>
          <w:p>
            <w:pPr>
              <w:spacing w:line="400" w:lineRule="exact"/>
              <w:ind w:left="391" w:hanging="391" w:hangingChars="163"/>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5.2党的建设和群团组织建设、基层治理体系建设和维稳工作体系建设有机融合，维护学校和谐稳定</w:t>
            </w:r>
          </w:p>
        </w:tc>
        <w:tc>
          <w:tcPr>
            <w:tcW w:w="9334" w:type="dxa"/>
            <w:tcBorders>
              <w:top w:val="single" w:color="auto" w:sz="4" w:space="0"/>
            </w:tcBorders>
            <w:vAlign w:val="center"/>
          </w:tcPr>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（1）做好院（系）统战工作，加强对党外知识分子的思想引领，抓好民族宗教等工作。</w:t>
            </w:r>
          </w:p>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（2）坚持以党的建设带动群团组织建设，加强院（系）工会、教代会、共青团和妇委会工作，加强对学生社团的管理、引导、服务和联系。</w:t>
            </w:r>
          </w:p>
          <w:p>
            <w:pPr>
              <w:spacing w:line="400" w:lineRule="exact"/>
              <w:ind w:left="600" w:hanging="600" w:hangingChars="250"/>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（3）全方位管理重点事项、重点对象、重要节点、重要阵地，健全师生安全稳定教育、预警研判、综合防控和应急处置体系，形成全链条防控风险管理闭环。</w:t>
            </w:r>
          </w:p>
        </w:tc>
      </w:tr>
    </w:tbl>
    <w:p>
      <w:pPr>
        <w:spacing w:after="120" w:afterLines="50" w:line="500" w:lineRule="exact"/>
        <w:rPr>
          <w:rFonts w:ascii="Times New Roman" w:hAnsi="Times New Roman" w:eastAsia="方正小标宋简体" w:cs="Times New Roman"/>
          <w:color w:val="000000" w:themeColor="text1"/>
          <w:sz w:val="36"/>
          <w:szCs w:val="36"/>
        </w:rPr>
      </w:pPr>
    </w:p>
    <w:sectPr>
      <w:footerReference r:id="rId3" w:type="default"/>
      <w:pgSz w:w="16840" w:h="11907" w:orient="landscape"/>
      <w:pgMar w:top="1797" w:right="1440" w:bottom="1797" w:left="1440" w:header="851" w:footer="992" w:gutter="0"/>
      <w:cols w:space="425" w:num="1"/>
      <w:titlePg/>
      <w:docGrid w:linePitch="60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简体">
    <w:altName w:val="仿宋_GB2312"/>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34955"/>
    </w:sdtPr>
    <w:sdtEndPr>
      <w:rPr>
        <w:rFonts w:ascii="Times New Roman" w:hAnsi="Times New Roman" w:cs="Times New Roman"/>
        <w:sz w:val="28"/>
      </w:rPr>
    </w:sdtEndPr>
    <w:sdtContent>
      <w:p>
        <w:pPr>
          <w:pStyle w:val="5"/>
          <w:jc w:val="center"/>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fldChar w:fldCharType="begin"/>
        </w:r>
        <w:r>
          <w:rPr>
            <w:rFonts w:ascii="Times New Roman" w:hAnsi="Times New Roman" w:cs="Times New Roman"/>
            <w:sz w:val="28"/>
          </w:rPr>
          <w:instrText xml:space="preserve">PAGE   \* MERGEFORMAT</w:instrText>
        </w:r>
        <w:r>
          <w:rPr>
            <w:rFonts w:ascii="Times New Roman" w:hAnsi="Times New Roman" w:cs="Times New Roman"/>
            <w:sz w:val="28"/>
          </w:rPr>
          <w:fldChar w:fldCharType="separate"/>
        </w:r>
        <w:r>
          <w:rPr>
            <w:rFonts w:ascii="Times New Roman" w:hAnsi="Times New Roman" w:cs="Times New Roman"/>
            <w:sz w:val="28"/>
            <w:lang w:val="zh-CN"/>
          </w:rPr>
          <w:t>2</w:t>
        </w:r>
        <w:r>
          <w:rPr>
            <w:rFonts w:ascii="Times New Roman" w:hAnsi="Times New Roman" w:cs="Times New Roman"/>
            <w:sz w:val="28"/>
          </w:rPr>
          <w:fldChar w:fldCharType="end"/>
        </w:r>
        <w:r>
          <w:rPr>
            <w:rFonts w:ascii="Times New Roman" w:hAnsi="Times New Roman" w:cs="Times New Roman"/>
            <w:sz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doNotDisplayPageBoundaries w:val="1"/>
  <w:bordersDoNotSurroundHeader w:val="1"/>
  <w:bordersDoNotSurroundFooter w:val="1"/>
  <w:documentProtection w:enforcement="0"/>
  <w:defaultTabStop w:val="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M2OWRlZTgwNWQ2MWJlOThlZDJiY2JjMGJkZTM4ODMifQ=="/>
  </w:docVars>
  <w:rsids>
    <w:rsidRoot w:val="000D708E"/>
    <w:rsid w:val="00000007"/>
    <w:rsid w:val="00003079"/>
    <w:rsid w:val="00003085"/>
    <w:rsid w:val="000054B7"/>
    <w:rsid w:val="00005DDF"/>
    <w:rsid w:val="000068BB"/>
    <w:rsid w:val="0000719E"/>
    <w:rsid w:val="000073EB"/>
    <w:rsid w:val="0000756C"/>
    <w:rsid w:val="00007980"/>
    <w:rsid w:val="000143C0"/>
    <w:rsid w:val="00014520"/>
    <w:rsid w:val="0001553A"/>
    <w:rsid w:val="000170AB"/>
    <w:rsid w:val="00021B94"/>
    <w:rsid w:val="00022353"/>
    <w:rsid w:val="00025063"/>
    <w:rsid w:val="00025C73"/>
    <w:rsid w:val="00027307"/>
    <w:rsid w:val="00027F47"/>
    <w:rsid w:val="00031081"/>
    <w:rsid w:val="00031168"/>
    <w:rsid w:val="00032330"/>
    <w:rsid w:val="00036C82"/>
    <w:rsid w:val="0003747D"/>
    <w:rsid w:val="00043687"/>
    <w:rsid w:val="000438E3"/>
    <w:rsid w:val="00043ADB"/>
    <w:rsid w:val="00044028"/>
    <w:rsid w:val="000442E2"/>
    <w:rsid w:val="00047DC5"/>
    <w:rsid w:val="00051F8E"/>
    <w:rsid w:val="00052359"/>
    <w:rsid w:val="00054087"/>
    <w:rsid w:val="00055AF2"/>
    <w:rsid w:val="00057E6C"/>
    <w:rsid w:val="00061D29"/>
    <w:rsid w:val="00062025"/>
    <w:rsid w:val="00067B59"/>
    <w:rsid w:val="0007228E"/>
    <w:rsid w:val="00074544"/>
    <w:rsid w:val="0007559D"/>
    <w:rsid w:val="0007643B"/>
    <w:rsid w:val="00082F5D"/>
    <w:rsid w:val="00084194"/>
    <w:rsid w:val="00085944"/>
    <w:rsid w:val="0009011F"/>
    <w:rsid w:val="00095A5C"/>
    <w:rsid w:val="0009603F"/>
    <w:rsid w:val="000A1482"/>
    <w:rsid w:val="000A3386"/>
    <w:rsid w:val="000A4467"/>
    <w:rsid w:val="000A57EF"/>
    <w:rsid w:val="000A672A"/>
    <w:rsid w:val="000A7F82"/>
    <w:rsid w:val="000B1180"/>
    <w:rsid w:val="000B271E"/>
    <w:rsid w:val="000B27B0"/>
    <w:rsid w:val="000B3C2C"/>
    <w:rsid w:val="000B61FE"/>
    <w:rsid w:val="000B6678"/>
    <w:rsid w:val="000B742F"/>
    <w:rsid w:val="000B77F7"/>
    <w:rsid w:val="000B7DA1"/>
    <w:rsid w:val="000C00FA"/>
    <w:rsid w:val="000C0484"/>
    <w:rsid w:val="000C0C8B"/>
    <w:rsid w:val="000C0F3F"/>
    <w:rsid w:val="000C1588"/>
    <w:rsid w:val="000C15E1"/>
    <w:rsid w:val="000C1727"/>
    <w:rsid w:val="000C4080"/>
    <w:rsid w:val="000C43F8"/>
    <w:rsid w:val="000C45FB"/>
    <w:rsid w:val="000C5484"/>
    <w:rsid w:val="000C675B"/>
    <w:rsid w:val="000D3EA1"/>
    <w:rsid w:val="000D416C"/>
    <w:rsid w:val="000D4970"/>
    <w:rsid w:val="000D5418"/>
    <w:rsid w:val="000D6319"/>
    <w:rsid w:val="000D708E"/>
    <w:rsid w:val="000E0D2B"/>
    <w:rsid w:val="000E3AF1"/>
    <w:rsid w:val="000E5A11"/>
    <w:rsid w:val="000E6B09"/>
    <w:rsid w:val="000F5187"/>
    <w:rsid w:val="000F6ACA"/>
    <w:rsid w:val="000F6E1F"/>
    <w:rsid w:val="001006CB"/>
    <w:rsid w:val="00101125"/>
    <w:rsid w:val="00102B51"/>
    <w:rsid w:val="00104CD2"/>
    <w:rsid w:val="00104D0E"/>
    <w:rsid w:val="00105AD0"/>
    <w:rsid w:val="001062A7"/>
    <w:rsid w:val="00107021"/>
    <w:rsid w:val="00113A95"/>
    <w:rsid w:val="00115811"/>
    <w:rsid w:val="0011753A"/>
    <w:rsid w:val="001177C9"/>
    <w:rsid w:val="00120595"/>
    <w:rsid w:val="00121A4E"/>
    <w:rsid w:val="00121D08"/>
    <w:rsid w:val="00121DAB"/>
    <w:rsid w:val="00122A0D"/>
    <w:rsid w:val="00123570"/>
    <w:rsid w:val="001248CF"/>
    <w:rsid w:val="001258FB"/>
    <w:rsid w:val="00130247"/>
    <w:rsid w:val="00131F4B"/>
    <w:rsid w:val="00134197"/>
    <w:rsid w:val="00135431"/>
    <w:rsid w:val="001354DB"/>
    <w:rsid w:val="0013794A"/>
    <w:rsid w:val="00142DA6"/>
    <w:rsid w:val="0014355D"/>
    <w:rsid w:val="00144DB8"/>
    <w:rsid w:val="001524C6"/>
    <w:rsid w:val="001534CB"/>
    <w:rsid w:val="001536C8"/>
    <w:rsid w:val="00153926"/>
    <w:rsid w:val="00153AFC"/>
    <w:rsid w:val="00153C79"/>
    <w:rsid w:val="00155CF2"/>
    <w:rsid w:val="00156BC0"/>
    <w:rsid w:val="001619CD"/>
    <w:rsid w:val="0016380A"/>
    <w:rsid w:val="0016411A"/>
    <w:rsid w:val="001666C4"/>
    <w:rsid w:val="00166C90"/>
    <w:rsid w:val="00170F6F"/>
    <w:rsid w:val="001719D7"/>
    <w:rsid w:val="001724F9"/>
    <w:rsid w:val="00175AE5"/>
    <w:rsid w:val="00175B3E"/>
    <w:rsid w:val="00176ACC"/>
    <w:rsid w:val="00177EC4"/>
    <w:rsid w:val="001815E5"/>
    <w:rsid w:val="00182E8C"/>
    <w:rsid w:val="001845DF"/>
    <w:rsid w:val="00185889"/>
    <w:rsid w:val="0019159F"/>
    <w:rsid w:val="00192FB7"/>
    <w:rsid w:val="001938EE"/>
    <w:rsid w:val="00193BC5"/>
    <w:rsid w:val="00195BB6"/>
    <w:rsid w:val="00196C8F"/>
    <w:rsid w:val="00197AB4"/>
    <w:rsid w:val="00197B78"/>
    <w:rsid w:val="00197DE3"/>
    <w:rsid w:val="001A017E"/>
    <w:rsid w:val="001A0306"/>
    <w:rsid w:val="001A39C1"/>
    <w:rsid w:val="001A43E4"/>
    <w:rsid w:val="001A571C"/>
    <w:rsid w:val="001A589A"/>
    <w:rsid w:val="001A791F"/>
    <w:rsid w:val="001B0177"/>
    <w:rsid w:val="001B5CBA"/>
    <w:rsid w:val="001B74DB"/>
    <w:rsid w:val="001B7AA9"/>
    <w:rsid w:val="001C1A5F"/>
    <w:rsid w:val="001C2979"/>
    <w:rsid w:val="001C33A2"/>
    <w:rsid w:val="001C44B4"/>
    <w:rsid w:val="001D5CA6"/>
    <w:rsid w:val="001E20C4"/>
    <w:rsid w:val="001E29C8"/>
    <w:rsid w:val="001E39D2"/>
    <w:rsid w:val="001E480E"/>
    <w:rsid w:val="001E4AF9"/>
    <w:rsid w:val="001E6775"/>
    <w:rsid w:val="001E71BA"/>
    <w:rsid w:val="001F32BC"/>
    <w:rsid w:val="001F37EC"/>
    <w:rsid w:val="001F3BAD"/>
    <w:rsid w:val="001F4376"/>
    <w:rsid w:val="001F78A5"/>
    <w:rsid w:val="00201FA3"/>
    <w:rsid w:val="00206282"/>
    <w:rsid w:val="0020784D"/>
    <w:rsid w:val="00210AE3"/>
    <w:rsid w:val="00212872"/>
    <w:rsid w:val="002137A7"/>
    <w:rsid w:val="00214183"/>
    <w:rsid w:val="00214C96"/>
    <w:rsid w:val="0021765B"/>
    <w:rsid w:val="002203F6"/>
    <w:rsid w:val="00220618"/>
    <w:rsid w:val="002207FD"/>
    <w:rsid w:val="00221D7C"/>
    <w:rsid w:val="00222F6A"/>
    <w:rsid w:val="00223AF8"/>
    <w:rsid w:val="00224958"/>
    <w:rsid w:val="0023022A"/>
    <w:rsid w:val="002305A4"/>
    <w:rsid w:val="00230F65"/>
    <w:rsid w:val="00231D39"/>
    <w:rsid w:val="00234B0A"/>
    <w:rsid w:val="00235848"/>
    <w:rsid w:val="002367D3"/>
    <w:rsid w:val="00241A5E"/>
    <w:rsid w:val="0024230C"/>
    <w:rsid w:val="00246535"/>
    <w:rsid w:val="0025089E"/>
    <w:rsid w:val="002512F7"/>
    <w:rsid w:val="00251572"/>
    <w:rsid w:val="002549C9"/>
    <w:rsid w:val="002553AE"/>
    <w:rsid w:val="0025590A"/>
    <w:rsid w:val="00256F0E"/>
    <w:rsid w:val="002600BE"/>
    <w:rsid w:val="00260D91"/>
    <w:rsid w:val="00261A97"/>
    <w:rsid w:val="00261C82"/>
    <w:rsid w:val="00262DB2"/>
    <w:rsid w:val="00263BE1"/>
    <w:rsid w:val="00265A6E"/>
    <w:rsid w:val="00265E4D"/>
    <w:rsid w:val="00266248"/>
    <w:rsid w:val="00271146"/>
    <w:rsid w:val="00271F3A"/>
    <w:rsid w:val="002722AF"/>
    <w:rsid w:val="002737A6"/>
    <w:rsid w:val="0027545A"/>
    <w:rsid w:val="00276D37"/>
    <w:rsid w:val="00280D70"/>
    <w:rsid w:val="00284A93"/>
    <w:rsid w:val="00286360"/>
    <w:rsid w:val="00286CAB"/>
    <w:rsid w:val="00290204"/>
    <w:rsid w:val="002906C7"/>
    <w:rsid w:val="00291D26"/>
    <w:rsid w:val="00294C8E"/>
    <w:rsid w:val="00296AC7"/>
    <w:rsid w:val="002A105C"/>
    <w:rsid w:val="002A157D"/>
    <w:rsid w:val="002A27D0"/>
    <w:rsid w:val="002A30FA"/>
    <w:rsid w:val="002A386C"/>
    <w:rsid w:val="002A4ED2"/>
    <w:rsid w:val="002A7C5E"/>
    <w:rsid w:val="002B1951"/>
    <w:rsid w:val="002B1A3F"/>
    <w:rsid w:val="002B63B7"/>
    <w:rsid w:val="002B7805"/>
    <w:rsid w:val="002B7CCA"/>
    <w:rsid w:val="002C29E6"/>
    <w:rsid w:val="002C3784"/>
    <w:rsid w:val="002C65D6"/>
    <w:rsid w:val="002C7F00"/>
    <w:rsid w:val="002D19FE"/>
    <w:rsid w:val="002D3431"/>
    <w:rsid w:val="002D50E4"/>
    <w:rsid w:val="002D72CB"/>
    <w:rsid w:val="002D7A71"/>
    <w:rsid w:val="002D7DB3"/>
    <w:rsid w:val="002D7FFD"/>
    <w:rsid w:val="002E179A"/>
    <w:rsid w:val="002E3432"/>
    <w:rsid w:val="002E4A51"/>
    <w:rsid w:val="002F06DB"/>
    <w:rsid w:val="002F2EF6"/>
    <w:rsid w:val="002F2F11"/>
    <w:rsid w:val="002F3032"/>
    <w:rsid w:val="002F3ADD"/>
    <w:rsid w:val="002F3C8C"/>
    <w:rsid w:val="002F657C"/>
    <w:rsid w:val="002F7536"/>
    <w:rsid w:val="002F791C"/>
    <w:rsid w:val="00301D28"/>
    <w:rsid w:val="00302636"/>
    <w:rsid w:val="00303455"/>
    <w:rsid w:val="00306AF9"/>
    <w:rsid w:val="0030705C"/>
    <w:rsid w:val="00312387"/>
    <w:rsid w:val="003145C3"/>
    <w:rsid w:val="003175E5"/>
    <w:rsid w:val="0031775D"/>
    <w:rsid w:val="00317D22"/>
    <w:rsid w:val="003221A7"/>
    <w:rsid w:val="0032260B"/>
    <w:rsid w:val="00323117"/>
    <w:rsid w:val="003253D6"/>
    <w:rsid w:val="00326769"/>
    <w:rsid w:val="00331458"/>
    <w:rsid w:val="00332D35"/>
    <w:rsid w:val="00334695"/>
    <w:rsid w:val="003347CF"/>
    <w:rsid w:val="00335406"/>
    <w:rsid w:val="00337C4D"/>
    <w:rsid w:val="0034018D"/>
    <w:rsid w:val="00340930"/>
    <w:rsid w:val="0035247C"/>
    <w:rsid w:val="00353D9D"/>
    <w:rsid w:val="00355253"/>
    <w:rsid w:val="003559D0"/>
    <w:rsid w:val="00360F34"/>
    <w:rsid w:val="003635E3"/>
    <w:rsid w:val="0036460C"/>
    <w:rsid w:val="003657B3"/>
    <w:rsid w:val="00366331"/>
    <w:rsid w:val="0036796D"/>
    <w:rsid w:val="00370D93"/>
    <w:rsid w:val="00372325"/>
    <w:rsid w:val="00373757"/>
    <w:rsid w:val="00375160"/>
    <w:rsid w:val="00375F1E"/>
    <w:rsid w:val="00376E42"/>
    <w:rsid w:val="00377DB3"/>
    <w:rsid w:val="00380868"/>
    <w:rsid w:val="00380A06"/>
    <w:rsid w:val="00381E4C"/>
    <w:rsid w:val="0038247F"/>
    <w:rsid w:val="0038517C"/>
    <w:rsid w:val="00386ACA"/>
    <w:rsid w:val="00386D02"/>
    <w:rsid w:val="00390C3D"/>
    <w:rsid w:val="00391BAA"/>
    <w:rsid w:val="00391E32"/>
    <w:rsid w:val="0039603D"/>
    <w:rsid w:val="00397D97"/>
    <w:rsid w:val="003A098C"/>
    <w:rsid w:val="003A0F70"/>
    <w:rsid w:val="003A1505"/>
    <w:rsid w:val="003A3000"/>
    <w:rsid w:val="003A5469"/>
    <w:rsid w:val="003A6A30"/>
    <w:rsid w:val="003A6BA3"/>
    <w:rsid w:val="003B1A1C"/>
    <w:rsid w:val="003B2D1F"/>
    <w:rsid w:val="003B3CDE"/>
    <w:rsid w:val="003B5029"/>
    <w:rsid w:val="003B66EE"/>
    <w:rsid w:val="003C0141"/>
    <w:rsid w:val="003C029F"/>
    <w:rsid w:val="003C1A8A"/>
    <w:rsid w:val="003C1C4F"/>
    <w:rsid w:val="003C2897"/>
    <w:rsid w:val="003C2E62"/>
    <w:rsid w:val="003C48AB"/>
    <w:rsid w:val="003C51AE"/>
    <w:rsid w:val="003C7C79"/>
    <w:rsid w:val="003D122D"/>
    <w:rsid w:val="003D1A30"/>
    <w:rsid w:val="003D26E4"/>
    <w:rsid w:val="003D2AF3"/>
    <w:rsid w:val="003D473F"/>
    <w:rsid w:val="003D5975"/>
    <w:rsid w:val="003D5EE4"/>
    <w:rsid w:val="003D7D5A"/>
    <w:rsid w:val="003E01A2"/>
    <w:rsid w:val="003E1D1E"/>
    <w:rsid w:val="003E6164"/>
    <w:rsid w:val="003E62C8"/>
    <w:rsid w:val="003F1ADB"/>
    <w:rsid w:val="003F2B06"/>
    <w:rsid w:val="003F3B8A"/>
    <w:rsid w:val="003F564F"/>
    <w:rsid w:val="003F5E12"/>
    <w:rsid w:val="003F787D"/>
    <w:rsid w:val="00401805"/>
    <w:rsid w:val="00403762"/>
    <w:rsid w:val="00403D41"/>
    <w:rsid w:val="004052BB"/>
    <w:rsid w:val="00406B9E"/>
    <w:rsid w:val="00407E65"/>
    <w:rsid w:val="00410847"/>
    <w:rsid w:val="00410886"/>
    <w:rsid w:val="00411869"/>
    <w:rsid w:val="004133BD"/>
    <w:rsid w:val="00413DF3"/>
    <w:rsid w:val="00416CDA"/>
    <w:rsid w:val="00416EF4"/>
    <w:rsid w:val="0041765D"/>
    <w:rsid w:val="00420B52"/>
    <w:rsid w:val="004216FF"/>
    <w:rsid w:val="00422021"/>
    <w:rsid w:val="00422A05"/>
    <w:rsid w:val="004234D4"/>
    <w:rsid w:val="0042427D"/>
    <w:rsid w:val="004260F9"/>
    <w:rsid w:val="0042725B"/>
    <w:rsid w:val="00430113"/>
    <w:rsid w:val="004326F2"/>
    <w:rsid w:val="00432EB0"/>
    <w:rsid w:val="00433579"/>
    <w:rsid w:val="004341D5"/>
    <w:rsid w:val="0043470A"/>
    <w:rsid w:val="00437FCA"/>
    <w:rsid w:val="00445887"/>
    <w:rsid w:val="00451566"/>
    <w:rsid w:val="00451B27"/>
    <w:rsid w:val="00452D28"/>
    <w:rsid w:val="0045599C"/>
    <w:rsid w:val="00455A5C"/>
    <w:rsid w:val="00455B59"/>
    <w:rsid w:val="004571F6"/>
    <w:rsid w:val="00460A83"/>
    <w:rsid w:val="00461BA0"/>
    <w:rsid w:val="00465BF9"/>
    <w:rsid w:val="00465CE9"/>
    <w:rsid w:val="004701C1"/>
    <w:rsid w:val="00474A78"/>
    <w:rsid w:val="00477030"/>
    <w:rsid w:val="00477194"/>
    <w:rsid w:val="00477738"/>
    <w:rsid w:val="0048720D"/>
    <w:rsid w:val="00490E48"/>
    <w:rsid w:val="00490FE6"/>
    <w:rsid w:val="00491CEE"/>
    <w:rsid w:val="00491F2A"/>
    <w:rsid w:val="004928E3"/>
    <w:rsid w:val="004935CD"/>
    <w:rsid w:val="00495566"/>
    <w:rsid w:val="004957C0"/>
    <w:rsid w:val="004957D0"/>
    <w:rsid w:val="00496DB7"/>
    <w:rsid w:val="004A1257"/>
    <w:rsid w:val="004A63D0"/>
    <w:rsid w:val="004A6D78"/>
    <w:rsid w:val="004B0170"/>
    <w:rsid w:val="004B093B"/>
    <w:rsid w:val="004B0CF2"/>
    <w:rsid w:val="004B2264"/>
    <w:rsid w:val="004B2DA5"/>
    <w:rsid w:val="004B3A4A"/>
    <w:rsid w:val="004B445B"/>
    <w:rsid w:val="004B5A76"/>
    <w:rsid w:val="004C056A"/>
    <w:rsid w:val="004C4323"/>
    <w:rsid w:val="004C44E3"/>
    <w:rsid w:val="004C62DF"/>
    <w:rsid w:val="004C638E"/>
    <w:rsid w:val="004D2696"/>
    <w:rsid w:val="004D3BE9"/>
    <w:rsid w:val="004D649F"/>
    <w:rsid w:val="004D6F72"/>
    <w:rsid w:val="004D7F06"/>
    <w:rsid w:val="004E108C"/>
    <w:rsid w:val="004E27FB"/>
    <w:rsid w:val="004E3080"/>
    <w:rsid w:val="004E4C27"/>
    <w:rsid w:val="004E4DF8"/>
    <w:rsid w:val="004E6DF2"/>
    <w:rsid w:val="004E7896"/>
    <w:rsid w:val="004F121C"/>
    <w:rsid w:val="004F28D0"/>
    <w:rsid w:val="004F2E6C"/>
    <w:rsid w:val="004F4560"/>
    <w:rsid w:val="004F4678"/>
    <w:rsid w:val="004F4910"/>
    <w:rsid w:val="00501BA5"/>
    <w:rsid w:val="00502126"/>
    <w:rsid w:val="005040CA"/>
    <w:rsid w:val="0050429D"/>
    <w:rsid w:val="005066A4"/>
    <w:rsid w:val="00510208"/>
    <w:rsid w:val="00512D10"/>
    <w:rsid w:val="0051336B"/>
    <w:rsid w:val="00513CC7"/>
    <w:rsid w:val="00514C27"/>
    <w:rsid w:val="0051517B"/>
    <w:rsid w:val="005153FB"/>
    <w:rsid w:val="00520FE8"/>
    <w:rsid w:val="00523A21"/>
    <w:rsid w:val="00523EB9"/>
    <w:rsid w:val="005256BF"/>
    <w:rsid w:val="00525AFB"/>
    <w:rsid w:val="0052694C"/>
    <w:rsid w:val="00526F0B"/>
    <w:rsid w:val="00532F19"/>
    <w:rsid w:val="00533D84"/>
    <w:rsid w:val="0053547C"/>
    <w:rsid w:val="00537099"/>
    <w:rsid w:val="00540D6E"/>
    <w:rsid w:val="00540FAD"/>
    <w:rsid w:val="00544928"/>
    <w:rsid w:val="00546612"/>
    <w:rsid w:val="00546AC4"/>
    <w:rsid w:val="00546C6C"/>
    <w:rsid w:val="0054745F"/>
    <w:rsid w:val="0054769D"/>
    <w:rsid w:val="00547979"/>
    <w:rsid w:val="00550AEB"/>
    <w:rsid w:val="00552D88"/>
    <w:rsid w:val="00554262"/>
    <w:rsid w:val="0055731B"/>
    <w:rsid w:val="00560D37"/>
    <w:rsid w:val="005620E7"/>
    <w:rsid w:val="00563BBA"/>
    <w:rsid w:val="00563C26"/>
    <w:rsid w:val="00564889"/>
    <w:rsid w:val="00564BE8"/>
    <w:rsid w:val="00565852"/>
    <w:rsid w:val="005710A0"/>
    <w:rsid w:val="005711FC"/>
    <w:rsid w:val="005718C8"/>
    <w:rsid w:val="0057320D"/>
    <w:rsid w:val="00573877"/>
    <w:rsid w:val="00573A79"/>
    <w:rsid w:val="00577548"/>
    <w:rsid w:val="00581B67"/>
    <w:rsid w:val="00582D91"/>
    <w:rsid w:val="005831B9"/>
    <w:rsid w:val="005862ED"/>
    <w:rsid w:val="00586D87"/>
    <w:rsid w:val="00591260"/>
    <w:rsid w:val="00592CFE"/>
    <w:rsid w:val="005943F9"/>
    <w:rsid w:val="00594B1E"/>
    <w:rsid w:val="005958E7"/>
    <w:rsid w:val="00596048"/>
    <w:rsid w:val="00596C27"/>
    <w:rsid w:val="00597CAB"/>
    <w:rsid w:val="00597E80"/>
    <w:rsid w:val="005A199D"/>
    <w:rsid w:val="005A1F42"/>
    <w:rsid w:val="005A215B"/>
    <w:rsid w:val="005A454E"/>
    <w:rsid w:val="005A5FC4"/>
    <w:rsid w:val="005A69A8"/>
    <w:rsid w:val="005A6E8A"/>
    <w:rsid w:val="005B0DF3"/>
    <w:rsid w:val="005B1A5C"/>
    <w:rsid w:val="005B61A0"/>
    <w:rsid w:val="005C21B0"/>
    <w:rsid w:val="005C3640"/>
    <w:rsid w:val="005C374F"/>
    <w:rsid w:val="005C6614"/>
    <w:rsid w:val="005C76B5"/>
    <w:rsid w:val="005D103F"/>
    <w:rsid w:val="005D154B"/>
    <w:rsid w:val="005D1661"/>
    <w:rsid w:val="005D56B9"/>
    <w:rsid w:val="005D592F"/>
    <w:rsid w:val="005D6785"/>
    <w:rsid w:val="005D6AE1"/>
    <w:rsid w:val="005D6CE6"/>
    <w:rsid w:val="005D6FEE"/>
    <w:rsid w:val="005D72E2"/>
    <w:rsid w:val="005E0045"/>
    <w:rsid w:val="005E1757"/>
    <w:rsid w:val="005E1E73"/>
    <w:rsid w:val="005E2889"/>
    <w:rsid w:val="005E2B10"/>
    <w:rsid w:val="005E6D86"/>
    <w:rsid w:val="005E725E"/>
    <w:rsid w:val="005E7FCB"/>
    <w:rsid w:val="005F41EA"/>
    <w:rsid w:val="005F5C56"/>
    <w:rsid w:val="005F6E90"/>
    <w:rsid w:val="005F76C6"/>
    <w:rsid w:val="006000C6"/>
    <w:rsid w:val="00600284"/>
    <w:rsid w:val="00600552"/>
    <w:rsid w:val="00601B07"/>
    <w:rsid w:val="006026C5"/>
    <w:rsid w:val="006045A3"/>
    <w:rsid w:val="00605B14"/>
    <w:rsid w:val="0060637E"/>
    <w:rsid w:val="006066EA"/>
    <w:rsid w:val="006067E5"/>
    <w:rsid w:val="00606D47"/>
    <w:rsid w:val="00611A09"/>
    <w:rsid w:val="00614059"/>
    <w:rsid w:val="00614AD9"/>
    <w:rsid w:val="006172FA"/>
    <w:rsid w:val="00617862"/>
    <w:rsid w:val="00617B4B"/>
    <w:rsid w:val="00621DAE"/>
    <w:rsid w:val="00622408"/>
    <w:rsid w:val="006224F8"/>
    <w:rsid w:val="00624685"/>
    <w:rsid w:val="0062566D"/>
    <w:rsid w:val="00627339"/>
    <w:rsid w:val="0063053A"/>
    <w:rsid w:val="006357E1"/>
    <w:rsid w:val="00635E8C"/>
    <w:rsid w:val="00635FF4"/>
    <w:rsid w:val="0063652E"/>
    <w:rsid w:val="006369F1"/>
    <w:rsid w:val="0063797A"/>
    <w:rsid w:val="00637A62"/>
    <w:rsid w:val="006400F6"/>
    <w:rsid w:val="00641EC7"/>
    <w:rsid w:val="006432D0"/>
    <w:rsid w:val="0064428A"/>
    <w:rsid w:val="00646BF2"/>
    <w:rsid w:val="00646C86"/>
    <w:rsid w:val="00653B58"/>
    <w:rsid w:val="00654283"/>
    <w:rsid w:val="00655BEB"/>
    <w:rsid w:val="0065678B"/>
    <w:rsid w:val="00657395"/>
    <w:rsid w:val="00657A08"/>
    <w:rsid w:val="0066257D"/>
    <w:rsid w:val="00663AF8"/>
    <w:rsid w:val="006646E0"/>
    <w:rsid w:val="00665AB7"/>
    <w:rsid w:val="00667B01"/>
    <w:rsid w:val="006752B6"/>
    <w:rsid w:val="00676052"/>
    <w:rsid w:val="00676C41"/>
    <w:rsid w:val="00676DE8"/>
    <w:rsid w:val="00676F84"/>
    <w:rsid w:val="00680E5C"/>
    <w:rsid w:val="00681362"/>
    <w:rsid w:val="006825FE"/>
    <w:rsid w:val="006838B8"/>
    <w:rsid w:val="006838C5"/>
    <w:rsid w:val="00683BAC"/>
    <w:rsid w:val="00686C2B"/>
    <w:rsid w:val="00687E27"/>
    <w:rsid w:val="006927AF"/>
    <w:rsid w:val="00693237"/>
    <w:rsid w:val="00693B70"/>
    <w:rsid w:val="00696431"/>
    <w:rsid w:val="00696F5E"/>
    <w:rsid w:val="006A1481"/>
    <w:rsid w:val="006A1A00"/>
    <w:rsid w:val="006A2EA8"/>
    <w:rsid w:val="006A2EFD"/>
    <w:rsid w:val="006A3E8A"/>
    <w:rsid w:val="006A403F"/>
    <w:rsid w:val="006A58D5"/>
    <w:rsid w:val="006A7046"/>
    <w:rsid w:val="006A7260"/>
    <w:rsid w:val="006A7649"/>
    <w:rsid w:val="006B05D4"/>
    <w:rsid w:val="006B063D"/>
    <w:rsid w:val="006B106D"/>
    <w:rsid w:val="006B5763"/>
    <w:rsid w:val="006B5B9E"/>
    <w:rsid w:val="006B5DF1"/>
    <w:rsid w:val="006B5F68"/>
    <w:rsid w:val="006B7820"/>
    <w:rsid w:val="006C212B"/>
    <w:rsid w:val="006C33ED"/>
    <w:rsid w:val="006C4051"/>
    <w:rsid w:val="006C5217"/>
    <w:rsid w:val="006C7645"/>
    <w:rsid w:val="006C7F63"/>
    <w:rsid w:val="006D38BC"/>
    <w:rsid w:val="006D5840"/>
    <w:rsid w:val="006D70BA"/>
    <w:rsid w:val="006E12FF"/>
    <w:rsid w:val="006E151F"/>
    <w:rsid w:val="006E2678"/>
    <w:rsid w:val="006E3A4C"/>
    <w:rsid w:val="006E3CFE"/>
    <w:rsid w:val="006E5362"/>
    <w:rsid w:val="006E7141"/>
    <w:rsid w:val="006E72F4"/>
    <w:rsid w:val="006F26D9"/>
    <w:rsid w:val="006F4001"/>
    <w:rsid w:val="006F40E7"/>
    <w:rsid w:val="006F57D1"/>
    <w:rsid w:val="006F5B25"/>
    <w:rsid w:val="006F6A8B"/>
    <w:rsid w:val="006F7164"/>
    <w:rsid w:val="007001E6"/>
    <w:rsid w:val="0070126C"/>
    <w:rsid w:val="00702376"/>
    <w:rsid w:val="00705AE9"/>
    <w:rsid w:val="00705F48"/>
    <w:rsid w:val="00710460"/>
    <w:rsid w:val="0071073D"/>
    <w:rsid w:val="007126EE"/>
    <w:rsid w:val="007128B5"/>
    <w:rsid w:val="0071526C"/>
    <w:rsid w:val="00715DCD"/>
    <w:rsid w:val="00716E58"/>
    <w:rsid w:val="007272EB"/>
    <w:rsid w:val="00727520"/>
    <w:rsid w:val="00727C7C"/>
    <w:rsid w:val="00730ABE"/>
    <w:rsid w:val="0073420E"/>
    <w:rsid w:val="00734252"/>
    <w:rsid w:val="00741229"/>
    <w:rsid w:val="0074266A"/>
    <w:rsid w:val="00742718"/>
    <w:rsid w:val="0074356B"/>
    <w:rsid w:val="007441D2"/>
    <w:rsid w:val="00744D81"/>
    <w:rsid w:val="0074517C"/>
    <w:rsid w:val="007457A6"/>
    <w:rsid w:val="00746B84"/>
    <w:rsid w:val="007470BE"/>
    <w:rsid w:val="00750AC5"/>
    <w:rsid w:val="00751C8B"/>
    <w:rsid w:val="00754215"/>
    <w:rsid w:val="007552D7"/>
    <w:rsid w:val="00755798"/>
    <w:rsid w:val="00756D36"/>
    <w:rsid w:val="00757F42"/>
    <w:rsid w:val="00761E5B"/>
    <w:rsid w:val="007640A4"/>
    <w:rsid w:val="00765091"/>
    <w:rsid w:val="0076623B"/>
    <w:rsid w:val="0076740B"/>
    <w:rsid w:val="00770ED6"/>
    <w:rsid w:val="00770FFB"/>
    <w:rsid w:val="00771950"/>
    <w:rsid w:val="00773CCB"/>
    <w:rsid w:val="007746AE"/>
    <w:rsid w:val="007757FC"/>
    <w:rsid w:val="00776667"/>
    <w:rsid w:val="00777581"/>
    <w:rsid w:val="00780EE6"/>
    <w:rsid w:val="00784806"/>
    <w:rsid w:val="0078501D"/>
    <w:rsid w:val="00785174"/>
    <w:rsid w:val="00785259"/>
    <w:rsid w:val="007853BB"/>
    <w:rsid w:val="00787178"/>
    <w:rsid w:val="00787E7F"/>
    <w:rsid w:val="00792C39"/>
    <w:rsid w:val="00793042"/>
    <w:rsid w:val="0079324C"/>
    <w:rsid w:val="00793BC3"/>
    <w:rsid w:val="0079410D"/>
    <w:rsid w:val="007954D0"/>
    <w:rsid w:val="00795B07"/>
    <w:rsid w:val="00797048"/>
    <w:rsid w:val="007A017D"/>
    <w:rsid w:val="007A04B2"/>
    <w:rsid w:val="007A1585"/>
    <w:rsid w:val="007A19BE"/>
    <w:rsid w:val="007A6A55"/>
    <w:rsid w:val="007B010E"/>
    <w:rsid w:val="007B0920"/>
    <w:rsid w:val="007B1A25"/>
    <w:rsid w:val="007B3ADC"/>
    <w:rsid w:val="007B4DDC"/>
    <w:rsid w:val="007B50C7"/>
    <w:rsid w:val="007B51D9"/>
    <w:rsid w:val="007B6CB8"/>
    <w:rsid w:val="007C0710"/>
    <w:rsid w:val="007C3667"/>
    <w:rsid w:val="007C5AD4"/>
    <w:rsid w:val="007C5EE0"/>
    <w:rsid w:val="007C6E5F"/>
    <w:rsid w:val="007D4FF0"/>
    <w:rsid w:val="007E1700"/>
    <w:rsid w:val="007E1871"/>
    <w:rsid w:val="007E4ADD"/>
    <w:rsid w:val="007E5C25"/>
    <w:rsid w:val="007F49A0"/>
    <w:rsid w:val="007F75E0"/>
    <w:rsid w:val="008019FA"/>
    <w:rsid w:val="008021D9"/>
    <w:rsid w:val="00802734"/>
    <w:rsid w:val="00803CFB"/>
    <w:rsid w:val="0080511F"/>
    <w:rsid w:val="00805FA7"/>
    <w:rsid w:val="008067F9"/>
    <w:rsid w:val="008078E7"/>
    <w:rsid w:val="008104C8"/>
    <w:rsid w:val="00811084"/>
    <w:rsid w:val="00812767"/>
    <w:rsid w:val="00816418"/>
    <w:rsid w:val="0081678F"/>
    <w:rsid w:val="00820152"/>
    <w:rsid w:val="008207A6"/>
    <w:rsid w:val="00821994"/>
    <w:rsid w:val="008221B2"/>
    <w:rsid w:val="008225E0"/>
    <w:rsid w:val="00825185"/>
    <w:rsid w:val="00826E5F"/>
    <w:rsid w:val="008309FE"/>
    <w:rsid w:val="00830D8D"/>
    <w:rsid w:val="0083549E"/>
    <w:rsid w:val="00837806"/>
    <w:rsid w:val="00840286"/>
    <w:rsid w:val="00840E60"/>
    <w:rsid w:val="00841E2F"/>
    <w:rsid w:val="00842E8D"/>
    <w:rsid w:val="0084362E"/>
    <w:rsid w:val="00844D7A"/>
    <w:rsid w:val="00844FC4"/>
    <w:rsid w:val="0084729A"/>
    <w:rsid w:val="00847FBC"/>
    <w:rsid w:val="00853092"/>
    <w:rsid w:val="0085386E"/>
    <w:rsid w:val="00857C99"/>
    <w:rsid w:val="0086104C"/>
    <w:rsid w:val="00861133"/>
    <w:rsid w:val="008616D7"/>
    <w:rsid w:val="008619C6"/>
    <w:rsid w:val="00862840"/>
    <w:rsid w:val="00863C68"/>
    <w:rsid w:val="008661DC"/>
    <w:rsid w:val="00866C61"/>
    <w:rsid w:val="0087021F"/>
    <w:rsid w:val="00871580"/>
    <w:rsid w:val="00871720"/>
    <w:rsid w:val="00871B5F"/>
    <w:rsid w:val="00872125"/>
    <w:rsid w:val="008734F2"/>
    <w:rsid w:val="008758D1"/>
    <w:rsid w:val="00876727"/>
    <w:rsid w:val="00876841"/>
    <w:rsid w:val="0088170E"/>
    <w:rsid w:val="00883E8D"/>
    <w:rsid w:val="0088554C"/>
    <w:rsid w:val="00886015"/>
    <w:rsid w:val="00886927"/>
    <w:rsid w:val="008923FF"/>
    <w:rsid w:val="00894482"/>
    <w:rsid w:val="0089715C"/>
    <w:rsid w:val="00897941"/>
    <w:rsid w:val="008A30FD"/>
    <w:rsid w:val="008A65D2"/>
    <w:rsid w:val="008A738E"/>
    <w:rsid w:val="008B0664"/>
    <w:rsid w:val="008B2B90"/>
    <w:rsid w:val="008B4B8C"/>
    <w:rsid w:val="008B5312"/>
    <w:rsid w:val="008B5578"/>
    <w:rsid w:val="008B56AD"/>
    <w:rsid w:val="008B6669"/>
    <w:rsid w:val="008B6C21"/>
    <w:rsid w:val="008B7DD5"/>
    <w:rsid w:val="008C05FD"/>
    <w:rsid w:val="008C0C7D"/>
    <w:rsid w:val="008C3668"/>
    <w:rsid w:val="008C67AA"/>
    <w:rsid w:val="008D07C0"/>
    <w:rsid w:val="008D1F90"/>
    <w:rsid w:val="008D3AB0"/>
    <w:rsid w:val="008D6695"/>
    <w:rsid w:val="008D6C15"/>
    <w:rsid w:val="008D7466"/>
    <w:rsid w:val="008E0CBE"/>
    <w:rsid w:val="008E4555"/>
    <w:rsid w:val="008E59C2"/>
    <w:rsid w:val="008E61DA"/>
    <w:rsid w:val="008E784C"/>
    <w:rsid w:val="008E7A9F"/>
    <w:rsid w:val="008F16CF"/>
    <w:rsid w:val="008F231D"/>
    <w:rsid w:val="008F3997"/>
    <w:rsid w:val="008F3B81"/>
    <w:rsid w:val="008F4D55"/>
    <w:rsid w:val="008F513E"/>
    <w:rsid w:val="008F56AF"/>
    <w:rsid w:val="008F58A3"/>
    <w:rsid w:val="008F5CCB"/>
    <w:rsid w:val="008F7E64"/>
    <w:rsid w:val="00902877"/>
    <w:rsid w:val="00902DD2"/>
    <w:rsid w:val="00902FCE"/>
    <w:rsid w:val="009049FA"/>
    <w:rsid w:val="00904D83"/>
    <w:rsid w:val="009077FD"/>
    <w:rsid w:val="009110E0"/>
    <w:rsid w:val="00911654"/>
    <w:rsid w:val="009133E6"/>
    <w:rsid w:val="00913491"/>
    <w:rsid w:val="00915833"/>
    <w:rsid w:val="0092057F"/>
    <w:rsid w:val="00920A93"/>
    <w:rsid w:val="0092124F"/>
    <w:rsid w:val="00921BA4"/>
    <w:rsid w:val="009224A9"/>
    <w:rsid w:val="00925EE1"/>
    <w:rsid w:val="00930377"/>
    <w:rsid w:val="00930E87"/>
    <w:rsid w:val="00931AE2"/>
    <w:rsid w:val="00931C30"/>
    <w:rsid w:val="00932435"/>
    <w:rsid w:val="00935902"/>
    <w:rsid w:val="00937015"/>
    <w:rsid w:val="0093708A"/>
    <w:rsid w:val="00937222"/>
    <w:rsid w:val="00940050"/>
    <w:rsid w:val="00940492"/>
    <w:rsid w:val="00940996"/>
    <w:rsid w:val="00942D46"/>
    <w:rsid w:val="00943ABB"/>
    <w:rsid w:val="00944ED1"/>
    <w:rsid w:val="0095070A"/>
    <w:rsid w:val="009521B6"/>
    <w:rsid w:val="00953EBC"/>
    <w:rsid w:val="009548C7"/>
    <w:rsid w:val="00954BBB"/>
    <w:rsid w:val="0095695A"/>
    <w:rsid w:val="00957D70"/>
    <w:rsid w:val="00960505"/>
    <w:rsid w:val="00964CF6"/>
    <w:rsid w:val="009669DD"/>
    <w:rsid w:val="0096770C"/>
    <w:rsid w:val="009712E4"/>
    <w:rsid w:val="009736B0"/>
    <w:rsid w:val="00973752"/>
    <w:rsid w:val="00973F8D"/>
    <w:rsid w:val="00976D48"/>
    <w:rsid w:val="00977D18"/>
    <w:rsid w:val="009807B4"/>
    <w:rsid w:val="0098159D"/>
    <w:rsid w:val="0098194E"/>
    <w:rsid w:val="00981FB2"/>
    <w:rsid w:val="00982974"/>
    <w:rsid w:val="00982E1F"/>
    <w:rsid w:val="00985983"/>
    <w:rsid w:val="009862D2"/>
    <w:rsid w:val="009874A2"/>
    <w:rsid w:val="00991135"/>
    <w:rsid w:val="009918D4"/>
    <w:rsid w:val="00991D34"/>
    <w:rsid w:val="009A00D3"/>
    <w:rsid w:val="009A437D"/>
    <w:rsid w:val="009A4EB6"/>
    <w:rsid w:val="009A61DD"/>
    <w:rsid w:val="009A6543"/>
    <w:rsid w:val="009A6920"/>
    <w:rsid w:val="009A72E4"/>
    <w:rsid w:val="009A7972"/>
    <w:rsid w:val="009B018D"/>
    <w:rsid w:val="009B0721"/>
    <w:rsid w:val="009B1AE7"/>
    <w:rsid w:val="009B542D"/>
    <w:rsid w:val="009B6352"/>
    <w:rsid w:val="009B700F"/>
    <w:rsid w:val="009C174D"/>
    <w:rsid w:val="009C2FA0"/>
    <w:rsid w:val="009C4CEF"/>
    <w:rsid w:val="009C583B"/>
    <w:rsid w:val="009C6559"/>
    <w:rsid w:val="009D5845"/>
    <w:rsid w:val="009D6ECC"/>
    <w:rsid w:val="009E0C49"/>
    <w:rsid w:val="009E0D22"/>
    <w:rsid w:val="009E0FF2"/>
    <w:rsid w:val="009E2070"/>
    <w:rsid w:val="009E3583"/>
    <w:rsid w:val="009E3EE2"/>
    <w:rsid w:val="009E4133"/>
    <w:rsid w:val="009E4B1E"/>
    <w:rsid w:val="009E56A8"/>
    <w:rsid w:val="009E62D7"/>
    <w:rsid w:val="009E7FAB"/>
    <w:rsid w:val="009F00C4"/>
    <w:rsid w:val="009F49DA"/>
    <w:rsid w:val="009F4F19"/>
    <w:rsid w:val="009F678B"/>
    <w:rsid w:val="009F7429"/>
    <w:rsid w:val="009F7D89"/>
    <w:rsid w:val="00A00A67"/>
    <w:rsid w:val="00A01914"/>
    <w:rsid w:val="00A02B4A"/>
    <w:rsid w:val="00A02CA1"/>
    <w:rsid w:val="00A0408B"/>
    <w:rsid w:val="00A0530B"/>
    <w:rsid w:val="00A1458E"/>
    <w:rsid w:val="00A1556C"/>
    <w:rsid w:val="00A201C2"/>
    <w:rsid w:val="00A20A92"/>
    <w:rsid w:val="00A212D4"/>
    <w:rsid w:val="00A21A3F"/>
    <w:rsid w:val="00A2247A"/>
    <w:rsid w:val="00A24792"/>
    <w:rsid w:val="00A24E8F"/>
    <w:rsid w:val="00A25EFC"/>
    <w:rsid w:val="00A266AE"/>
    <w:rsid w:val="00A31006"/>
    <w:rsid w:val="00A32601"/>
    <w:rsid w:val="00A32F6E"/>
    <w:rsid w:val="00A34A9A"/>
    <w:rsid w:val="00A35929"/>
    <w:rsid w:val="00A40208"/>
    <w:rsid w:val="00A408A2"/>
    <w:rsid w:val="00A419D9"/>
    <w:rsid w:val="00A4206A"/>
    <w:rsid w:val="00A43655"/>
    <w:rsid w:val="00A44EC2"/>
    <w:rsid w:val="00A452C1"/>
    <w:rsid w:val="00A4554A"/>
    <w:rsid w:val="00A45CF6"/>
    <w:rsid w:val="00A51B1E"/>
    <w:rsid w:val="00A51E05"/>
    <w:rsid w:val="00A523D1"/>
    <w:rsid w:val="00A52863"/>
    <w:rsid w:val="00A52E20"/>
    <w:rsid w:val="00A54751"/>
    <w:rsid w:val="00A55C48"/>
    <w:rsid w:val="00A55DD7"/>
    <w:rsid w:val="00A56BD5"/>
    <w:rsid w:val="00A57A13"/>
    <w:rsid w:val="00A66C89"/>
    <w:rsid w:val="00A6729B"/>
    <w:rsid w:val="00A7253F"/>
    <w:rsid w:val="00A7279F"/>
    <w:rsid w:val="00A72AC8"/>
    <w:rsid w:val="00A753C3"/>
    <w:rsid w:val="00A76661"/>
    <w:rsid w:val="00A816A2"/>
    <w:rsid w:val="00A831CD"/>
    <w:rsid w:val="00A8671A"/>
    <w:rsid w:val="00A91390"/>
    <w:rsid w:val="00A93DE4"/>
    <w:rsid w:val="00A9524D"/>
    <w:rsid w:val="00A95D69"/>
    <w:rsid w:val="00A968D3"/>
    <w:rsid w:val="00A96CDE"/>
    <w:rsid w:val="00A97A2D"/>
    <w:rsid w:val="00AA7AB9"/>
    <w:rsid w:val="00AB1F50"/>
    <w:rsid w:val="00AB3230"/>
    <w:rsid w:val="00AB472B"/>
    <w:rsid w:val="00AB5411"/>
    <w:rsid w:val="00AB57B6"/>
    <w:rsid w:val="00AC184A"/>
    <w:rsid w:val="00AC1C63"/>
    <w:rsid w:val="00AC350F"/>
    <w:rsid w:val="00AC3A8B"/>
    <w:rsid w:val="00AC5627"/>
    <w:rsid w:val="00AD34A1"/>
    <w:rsid w:val="00AD61C8"/>
    <w:rsid w:val="00AE2630"/>
    <w:rsid w:val="00AE34F0"/>
    <w:rsid w:val="00AE63FD"/>
    <w:rsid w:val="00AE75FF"/>
    <w:rsid w:val="00AF0D7B"/>
    <w:rsid w:val="00AF2523"/>
    <w:rsid w:val="00AF46EC"/>
    <w:rsid w:val="00AF65EC"/>
    <w:rsid w:val="00B0095B"/>
    <w:rsid w:val="00B021BC"/>
    <w:rsid w:val="00B021E3"/>
    <w:rsid w:val="00B043E4"/>
    <w:rsid w:val="00B05EA6"/>
    <w:rsid w:val="00B07A38"/>
    <w:rsid w:val="00B10279"/>
    <w:rsid w:val="00B11B0A"/>
    <w:rsid w:val="00B1560B"/>
    <w:rsid w:val="00B15C96"/>
    <w:rsid w:val="00B15F86"/>
    <w:rsid w:val="00B16DFE"/>
    <w:rsid w:val="00B20822"/>
    <w:rsid w:val="00B30AFE"/>
    <w:rsid w:val="00B32505"/>
    <w:rsid w:val="00B3451D"/>
    <w:rsid w:val="00B3470D"/>
    <w:rsid w:val="00B41191"/>
    <w:rsid w:val="00B418E1"/>
    <w:rsid w:val="00B43B56"/>
    <w:rsid w:val="00B50894"/>
    <w:rsid w:val="00B550CD"/>
    <w:rsid w:val="00B56CE6"/>
    <w:rsid w:val="00B61DD7"/>
    <w:rsid w:val="00B620C1"/>
    <w:rsid w:val="00B63493"/>
    <w:rsid w:val="00B63DB5"/>
    <w:rsid w:val="00B643D0"/>
    <w:rsid w:val="00B67315"/>
    <w:rsid w:val="00B71BB5"/>
    <w:rsid w:val="00B75DE9"/>
    <w:rsid w:val="00B77321"/>
    <w:rsid w:val="00B804DB"/>
    <w:rsid w:val="00B809B0"/>
    <w:rsid w:val="00B822F3"/>
    <w:rsid w:val="00B84610"/>
    <w:rsid w:val="00B85F31"/>
    <w:rsid w:val="00B860BA"/>
    <w:rsid w:val="00B86809"/>
    <w:rsid w:val="00B93077"/>
    <w:rsid w:val="00B9458D"/>
    <w:rsid w:val="00B94DBE"/>
    <w:rsid w:val="00B966A5"/>
    <w:rsid w:val="00B96704"/>
    <w:rsid w:val="00BA070C"/>
    <w:rsid w:val="00BA0D41"/>
    <w:rsid w:val="00BA1E0B"/>
    <w:rsid w:val="00BA2D81"/>
    <w:rsid w:val="00BA2EFA"/>
    <w:rsid w:val="00BA39FB"/>
    <w:rsid w:val="00BA460A"/>
    <w:rsid w:val="00BA78D3"/>
    <w:rsid w:val="00BB107D"/>
    <w:rsid w:val="00BB12FF"/>
    <w:rsid w:val="00BB2F48"/>
    <w:rsid w:val="00BB3C1B"/>
    <w:rsid w:val="00BB40DA"/>
    <w:rsid w:val="00BB4A63"/>
    <w:rsid w:val="00BB509E"/>
    <w:rsid w:val="00BB61A5"/>
    <w:rsid w:val="00BB6A26"/>
    <w:rsid w:val="00BB7017"/>
    <w:rsid w:val="00BC31E1"/>
    <w:rsid w:val="00BC4D6B"/>
    <w:rsid w:val="00BC4E20"/>
    <w:rsid w:val="00BC5447"/>
    <w:rsid w:val="00BC65BE"/>
    <w:rsid w:val="00BD0037"/>
    <w:rsid w:val="00BD2A1D"/>
    <w:rsid w:val="00BD36A0"/>
    <w:rsid w:val="00BD5FEE"/>
    <w:rsid w:val="00BD64D9"/>
    <w:rsid w:val="00BE1F3B"/>
    <w:rsid w:val="00BE368B"/>
    <w:rsid w:val="00BE3E8F"/>
    <w:rsid w:val="00BE42D7"/>
    <w:rsid w:val="00BE4353"/>
    <w:rsid w:val="00BE466F"/>
    <w:rsid w:val="00BE6BC2"/>
    <w:rsid w:val="00BE6F88"/>
    <w:rsid w:val="00BF12EC"/>
    <w:rsid w:val="00BF22A4"/>
    <w:rsid w:val="00BF2DDE"/>
    <w:rsid w:val="00BF60DF"/>
    <w:rsid w:val="00BF7485"/>
    <w:rsid w:val="00C000E1"/>
    <w:rsid w:val="00C00219"/>
    <w:rsid w:val="00C007EA"/>
    <w:rsid w:val="00C00C9F"/>
    <w:rsid w:val="00C02711"/>
    <w:rsid w:val="00C037A6"/>
    <w:rsid w:val="00C0675E"/>
    <w:rsid w:val="00C0777D"/>
    <w:rsid w:val="00C1271F"/>
    <w:rsid w:val="00C14507"/>
    <w:rsid w:val="00C1496B"/>
    <w:rsid w:val="00C15F38"/>
    <w:rsid w:val="00C16BC0"/>
    <w:rsid w:val="00C1705F"/>
    <w:rsid w:val="00C20EC4"/>
    <w:rsid w:val="00C2222B"/>
    <w:rsid w:val="00C25A0F"/>
    <w:rsid w:val="00C2672B"/>
    <w:rsid w:val="00C267EB"/>
    <w:rsid w:val="00C27583"/>
    <w:rsid w:val="00C36200"/>
    <w:rsid w:val="00C37051"/>
    <w:rsid w:val="00C3746E"/>
    <w:rsid w:val="00C40893"/>
    <w:rsid w:val="00C44CD8"/>
    <w:rsid w:val="00C46573"/>
    <w:rsid w:val="00C4733B"/>
    <w:rsid w:val="00C56654"/>
    <w:rsid w:val="00C573BB"/>
    <w:rsid w:val="00C57868"/>
    <w:rsid w:val="00C57BD7"/>
    <w:rsid w:val="00C61789"/>
    <w:rsid w:val="00C62456"/>
    <w:rsid w:val="00C646BE"/>
    <w:rsid w:val="00C70DAB"/>
    <w:rsid w:val="00C810B4"/>
    <w:rsid w:val="00C8233B"/>
    <w:rsid w:val="00C84AF0"/>
    <w:rsid w:val="00C87AE5"/>
    <w:rsid w:val="00C90F19"/>
    <w:rsid w:val="00C91F72"/>
    <w:rsid w:val="00C938C3"/>
    <w:rsid w:val="00C94CD5"/>
    <w:rsid w:val="00C962CE"/>
    <w:rsid w:val="00CA0ABA"/>
    <w:rsid w:val="00CA2710"/>
    <w:rsid w:val="00CA50BA"/>
    <w:rsid w:val="00CB0DD4"/>
    <w:rsid w:val="00CB177B"/>
    <w:rsid w:val="00CB1A6D"/>
    <w:rsid w:val="00CB210A"/>
    <w:rsid w:val="00CB25C8"/>
    <w:rsid w:val="00CB3F09"/>
    <w:rsid w:val="00CC22ED"/>
    <w:rsid w:val="00CC67E0"/>
    <w:rsid w:val="00CD072B"/>
    <w:rsid w:val="00CD0F8D"/>
    <w:rsid w:val="00CD176B"/>
    <w:rsid w:val="00CD4CBA"/>
    <w:rsid w:val="00CD4D02"/>
    <w:rsid w:val="00CD4EA9"/>
    <w:rsid w:val="00CD5A2A"/>
    <w:rsid w:val="00CD6246"/>
    <w:rsid w:val="00CE6FE0"/>
    <w:rsid w:val="00CF19B1"/>
    <w:rsid w:val="00CF2394"/>
    <w:rsid w:val="00CF3714"/>
    <w:rsid w:val="00CF6F73"/>
    <w:rsid w:val="00D01298"/>
    <w:rsid w:val="00D0352A"/>
    <w:rsid w:val="00D04203"/>
    <w:rsid w:val="00D047DC"/>
    <w:rsid w:val="00D0490C"/>
    <w:rsid w:val="00D04D73"/>
    <w:rsid w:val="00D052DD"/>
    <w:rsid w:val="00D05869"/>
    <w:rsid w:val="00D05DC7"/>
    <w:rsid w:val="00D111FB"/>
    <w:rsid w:val="00D12286"/>
    <w:rsid w:val="00D132B7"/>
    <w:rsid w:val="00D162DA"/>
    <w:rsid w:val="00D16FAD"/>
    <w:rsid w:val="00D22B75"/>
    <w:rsid w:val="00D230E7"/>
    <w:rsid w:val="00D24217"/>
    <w:rsid w:val="00D24692"/>
    <w:rsid w:val="00D24E79"/>
    <w:rsid w:val="00D27346"/>
    <w:rsid w:val="00D31AFA"/>
    <w:rsid w:val="00D34369"/>
    <w:rsid w:val="00D345C2"/>
    <w:rsid w:val="00D34FA6"/>
    <w:rsid w:val="00D36635"/>
    <w:rsid w:val="00D36AD2"/>
    <w:rsid w:val="00D36BAA"/>
    <w:rsid w:val="00D37AC0"/>
    <w:rsid w:val="00D40B51"/>
    <w:rsid w:val="00D40F4A"/>
    <w:rsid w:val="00D4238B"/>
    <w:rsid w:val="00D427DE"/>
    <w:rsid w:val="00D42F84"/>
    <w:rsid w:val="00D42FE2"/>
    <w:rsid w:val="00D4317B"/>
    <w:rsid w:val="00D44490"/>
    <w:rsid w:val="00D45EC1"/>
    <w:rsid w:val="00D47179"/>
    <w:rsid w:val="00D506EE"/>
    <w:rsid w:val="00D53DF6"/>
    <w:rsid w:val="00D5432B"/>
    <w:rsid w:val="00D61DCC"/>
    <w:rsid w:val="00D62BDF"/>
    <w:rsid w:val="00D64876"/>
    <w:rsid w:val="00D66204"/>
    <w:rsid w:val="00D6670B"/>
    <w:rsid w:val="00D67723"/>
    <w:rsid w:val="00D7083E"/>
    <w:rsid w:val="00D70C59"/>
    <w:rsid w:val="00D70E64"/>
    <w:rsid w:val="00D73ED0"/>
    <w:rsid w:val="00D75A15"/>
    <w:rsid w:val="00D81562"/>
    <w:rsid w:val="00D818E4"/>
    <w:rsid w:val="00D82566"/>
    <w:rsid w:val="00D826CF"/>
    <w:rsid w:val="00D87714"/>
    <w:rsid w:val="00D87C9D"/>
    <w:rsid w:val="00D90D24"/>
    <w:rsid w:val="00D916B2"/>
    <w:rsid w:val="00D94C9D"/>
    <w:rsid w:val="00D97AF1"/>
    <w:rsid w:val="00DA26C6"/>
    <w:rsid w:val="00DA308E"/>
    <w:rsid w:val="00DA599B"/>
    <w:rsid w:val="00DA5B88"/>
    <w:rsid w:val="00DB0DB4"/>
    <w:rsid w:val="00DB4E15"/>
    <w:rsid w:val="00DB5E24"/>
    <w:rsid w:val="00DB663D"/>
    <w:rsid w:val="00DC34A3"/>
    <w:rsid w:val="00DC4114"/>
    <w:rsid w:val="00DC41D4"/>
    <w:rsid w:val="00DC4F98"/>
    <w:rsid w:val="00DC5275"/>
    <w:rsid w:val="00DC6D3C"/>
    <w:rsid w:val="00DD03AE"/>
    <w:rsid w:val="00DD17CA"/>
    <w:rsid w:val="00DD3484"/>
    <w:rsid w:val="00DD3A5F"/>
    <w:rsid w:val="00DD53F3"/>
    <w:rsid w:val="00DE0872"/>
    <w:rsid w:val="00DE1054"/>
    <w:rsid w:val="00DE1F7E"/>
    <w:rsid w:val="00DE25B5"/>
    <w:rsid w:val="00DE3EB0"/>
    <w:rsid w:val="00DE4A66"/>
    <w:rsid w:val="00DE5E6F"/>
    <w:rsid w:val="00DE6D05"/>
    <w:rsid w:val="00DF1EE2"/>
    <w:rsid w:val="00DF6997"/>
    <w:rsid w:val="00DF757D"/>
    <w:rsid w:val="00DF75CB"/>
    <w:rsid w:val="00E02160"/>
    <w:rsid w:val="00E02765"/>
    <w:rsid w:val="00E03794"/>
    <w:rsid w:val="00E04F9E"/>
    <w:rsid w:val="00E055AE"/>
    <w:rsid w:val="00E06914"/>
    <w:rsid w:val="00E06E32"/>
    <w:rsid w:val="00E10651"/>
    <w:rsid w:val="00E11ABF"/>
    <w:rsid w:val="00E1484B"/>
    <w:rsid w:val="00E15F05"/>
    <w:rsid w:val="00E1796E"/>
    <w:rsid w:val="00E21474"/>
    <w:rsid w:val="00E27FC5"/>
    <w:rsid w:val="00E31936"/>
    <w:rsid w:val="00E33BA0"/>
    <w:rsid w:val="00E33DBF"/>
    <w:rsid w:val="00E33E39"/>
    <w:rsid w:val="00E344C7"/>
    <w:rsid w:val="00E35C45"/>
    <w:rsid w:val="00E36037"/>
    <w:rsid w:val="00E364FA"/>
    <w:rsid w:val="00E422D4"/>
    <w:rsid w:val="00E427FB"/>
    <w:rsid w:val="00E45AA2"/>
    <w:rsid w:val="00E50AE0"/>
    <w:rsid w:val="00E5240D"/>
    <w:rsid w:val="00E535C9"/>
    <w:rsid w:val="00E57B87"/>
    <w:rsid w:val="00E57FD3"/>
    <w:rsid w:val="00E615E9"/>
    <w:rsid w:val="00E6270D"/>
    <w:rsid w:val="00E63864"/>
    <w:rsid w:val="00E65284"/>
    <w:rsid w:val="00E7033B"/>
    <w:rsid w:val="00E71274"/>
    <w:rsid w:val="00E73105"/>
    <w:rsid w:val="00E73971"/>
    <w:rsid w:val="00E761FC"/>
    <w:rsid w:val="00E763AB"/>
    <w:rsid w:val="00E768C4"/>
    <w:rsid w:val="00E769EC"/>
    <w:rsid w:val="00E77580"/>
    <w:rsid w:val="00E806DA"/>
    <w:rsid w:val="00E814E3"/>
    <w:rsid w:val="00E8167A"/>
    <w:rsid w:val="00E8206F"/>
    <w:rsid w:val="00E823F0"/>
    <w:rsid w:val="00E84C8B"/>
    <w:rsid w:val="00E8685A"/>
    <w:rsid w:val="00E90FE1"/>
    <w:rsid w:val="00E93DDD"/>
    <w:rsid w:val="00E948F4"/>
    <w:rsid w:val="00E96F60"/>
    <w:rsid w:val="00EA24EA"/>
    <w:rsid w:val="00EA3A40"/>
    <w:rsid w:val="00EA60C3"/>
    <w:rsid w:val="00EA6A53"/>
    <w:rsid w:val="00EB02B6"/>
    <w:rsid w:val="00EB03CC"/>
    <w:rsid w:val="00EB2EC2"/>
    <w:rsid w:val="00EB3414"/>
    <w:rsid w:val="00EB57C8"/>
    <w:rsid w:val="00EB7802"/>
    <w:rsid w:val="00EC0785"/>
    <w:rsid w:val="00EC0FF0"/>
    <w:rsid w:val="00EC142C"/>
    <w:rsid w:val="00EC15D1"/>
    <w:rsid w:val="00EC4165"/>
    <w:rsid w:val="00EC6291"/>
    <w:rsid w:val="00EC668F"/>
    <w:rsid w:val="00EC7730"/>
    <w:rsid w:val="00ED2A40"/>
    <w:rsid w:val="00ED640E"/>
    <w:rsid w:val="00EE0495"/>
    <w:rsid w:val="00EE064E"/>
    <w:rsid w:val="00EE6B2B"/>
    <w:rsid w:val="00EF1E6D"/>
    <w:rsid w:val="00EF406B"/>
    <w:rsid w:val="00EF4591"/>
    <w:rsid w:val="00EF4CBD"/>
    <w:rsid w:val="00EF4CF1"/>
    <w:rsid w:val="00EF5111"/>
    <w:rsid w:val="00EF5390"/>
    <w:rsid w:val="00EF5F5C"/>
    <w:rsid w:val="00EF6F1E"/>
    <w:rsid w:val="00EF7E57"/>
    <w:rsid w:val="00F00442"/>
    <w:rsid w:val="00F02427"/>
    <w:rsid w:val="00F057A9"/>
    <w:rsid w:val="00F06156"/>
    <w:rsid w:val="00F10576"/>
    <w:rsid w:val="00F10E8D"/>
    <w:rsid w:val="00F119E2"/>
    <w:rsid w:val="00F1375D"/>
    <w:rsid w:val="00F14EDE"/>
    <w:rsid w:val="00F166F6"/>
    <w:rsid w:val="00F16DFA"/>
    <w:rsid w:val="00F17DE2"/>
    <w:rsid w:val="00F2199E"/>
    <w:rsid w:val="00F226E0"/>
    <w:rsid w:val="00F25E4F"/>
    <w:rsid w:val="00F26E25"/>
    <w:rsid w:val="00F27B45"/>
    <w:rsid w:val="00F27C08"/>
    <w:rsid w:val="00F31A43"/>
    <w:rsid w:val="00F35EB1"/>
    <w:rsid w:val="00F3600D"/>
    <w:rsid w:val="00F40183"/>
    <w:rsid w:val="00F403DA"/>
    <w:rsid w:val="00F40AF5"/>
    <w:rsid w:val="00F4237C"/>
    <w:rsid w:val="00F429B3"/>
    <w:rsid w:val="00F43E3B"/>
    <w:rsid w:val="00F44247"/>
    <w:rsid w:val="00F44EEC"/>
    <w:rsid w:val="00F46107"/>
    <w:rsid w:val="00F50A0B"/>
    <w:rsid w:val="00F517E5"/>
    <w:rsid w:val="00F53BE2"/>
    <w:rsid w:val="00F555EB"/>
    <w:rsid w:val="00F57158"/>
    <w:rsid w:val="00F60014"/>
    <w:rsid w:val="00F60454"/>
    <w:rsid w:val="00F6495C"/>
    <w:rsid w:val="00F65D5A"/>
    <w:rsid w:val="00F66B6A"/>
    <w:rsid w:val="00F72CD5"/>
    <w:rsid w:val="00F7402E"/>
    <w:rsid w:val="00F75254"/>
    <w:rsid w:val="00F802A2"/>
    <w:rsid w:val="00F820CA"/>
    <w:rsid w:val="00F839D5"/>
    <w:rsid w:val="00F841F5"/>
    <w:rsid w:val="00F8614C"/>
    <w:rsid w:val="00F86375"/>
    <w:rsid w:val="00F87B7A"/>
    <w:rsid w:val="00F90876"/>
    <w:rsid w:val="00F90B22"/>
    <w:rsid w:val="00F9301B"/>
    <w:rsid w:val="00F93373"/>
    <w:rsid w:val="00F958B2"/>
    <w:rsid w:val="00F95D56"/>
    <w:rsid w:val="00F96AE9"/>
    <w:rsid w:val="00FA453D"/>
    <w:rsid w:val="00FA4A35"/>
    <w:rsid w:val="00FB0920"/>
    <w:rsid w:val="00FB1E44"/>
    <w:rsid w:val="00FB23EE"/>
    <w:rsid w:val="00FB40D2"/>
    <w:rsid w:val="00FB693E"/>
    <w:rsid w:val="00FC29DD"/>
    <w:rsid w:val="00FC36F8"/>
    <w:rsid w:val="00FC6464"/>
    <w:rsid w:val="00FC6A8D"/>
    <w:rsid w:val="00FC6F1C"/>
    <w:rsid w:val="00FC7E6B"/>
    <w:rsid w:val="00FD1BD0"/>
    <w:rsid w:val="00FD28C0"/>
    <w:rsid w:val="00FD2CB1"/>
    <w:rsid w:val="00FD378C"/>
    <w:rsid w:val="00FD3AA3"/>
    <w:rsid w:val="00FD3F33"/>
    <w:rsid w:val="00FE1481"/>
    <w:rsid w:val="00FE31CC"/>
    <w:rsid w:val="00FE43A0"/>
    <w:rsid w:val="00FE4FF1"/>
    <w:rsid w:val="00FE6947"/>
    <w:rsid w:val="00FE7595"/>
    <w:rsid w:val="00FF0488"/>
    <w:rsid w:val="00FF05B3"/>
    <w:rsid w:val="00FF3D26"/>
    <w:rsid w:val="00FF3F82"/>
    <w:rsid w:val="00FF5862"/>
    <w:rsid w:val="00FF741B"/>
    <w:rsid w:val="02577724"/>
    <w:rsid w:val="025D1AC7"/>
    <w:rsid w:val="030B5168"/>
    <w:rsid w:val="033C5F7B"/>
    <w:rsid w:val="035E63B1"/>
    <w:rsid w:val="0363347C"/>
    <w:rsid w:val="040F3104"/>
    <w:rsid w:val="04F93522"/>
    <w:rsid w:val="052F6883"/>
    <w:rsid w:val="05607D96"/>
    <w:rsid w:val="05677058"/>
    <w:rsid w:val="056F25F2"/>
    <w:rsid w:val="05EB7AAB"/>
    <w:rsid w:val="05F83E08"/>
    <w:rsid w:val="065F3E77"/>
    <w:rsid w:val="069014E8"/>
    <w:rsid w:val="07297BE8"/>
    <w:rsid w:val="073C2D68"/>
    <w:rsid w:val="073D29C1"/>
    <w:rsid w:val="0782254B"/>
    <w:rsid w:val="07A57AF2"/>
    <w:rsid w:val="07C017B0"/>
    <w:rsid w:val="07E53178"/>
    <w:rsid w:val="080B0F88"/>
    <w:rsid w:val="081E2C8D"/>
    <w:rsid w:val="089A2FAD"/>
    <w:rsid w:val="09BB26A0"/>
    <w:rsid w:val="09C50B41"/>
    <w:rsid w:val="0A4239A9"/>
    <w:rsid w:val="0AC27E50"/>
    <w:rsid w:val="0AD948B6"/>
    <w:rsid w:val="0B9213E0"/>
    <w:rsid w:val="0BD55255"/>
    <w:rsid w:val="0C4849E8"/>
    <w:rsid w:val="0C7036D1"/>
    <w:rsid w:val="0C9B2A07"/>
    <w:rsid w:val="0CED305E"/>
    <w:rsid w:val="0CF25E9F"/>
    <w:rsid w:val="0D2F183C"/>
    <w:rsid w:val="0DC2499B"/>
    <w:rsid w:val="0DF511D4"/>
    <w:rsid w:val="0E055D2F"/>
    <w:rsid w:val="0EB54699"/>
    <w:rsid w:val="0F8B2742"/>
    <w:rsid w:val="0FDC2424"/>
    <w:rsid w:val="104B68F7"/>
    <w:rsid w:val="11354AF0"/>
    <w:rsid w:val="11656C54"/>
    <w:rsid w:val="11CB13CB"/>
    <w:rsid w:val="12630A3B"/>
    <w:rsid w:val="127907B3"/>
    <w:rsid w:val="12966ACA"/>
    <w:rsid w:val="130539F6"/>
    <w:rsid w:val="13154666"/>
    <w:rsid w:val="13EC6E86"/>
    <w:rsid w:val="13F114D7"/>
    <w:rsid w:val="14643FF0"/>
    <w:rsid w:val="149131E3"/>
    <w:rsid w:val="14D50A06"/>
    <w:rsid w:val="15386EE0"/>
    <w:rsid w:val="158A7FB5"/>
    <w:rsid w:val="16180EB2"/>
    <w:rsid w:val="168901A6"/>
    <w:rsid w:val="173C7639"/>
    <w:rsid w:val="179D597E"/>
    <w:rsid w:val="17F53355"/>
    <w:rsid w:val="18816735"/>
    <w:rsid w:val="193C1590"/>
    <w:rsid w:val="19B13674"/>
    <w:rsid w:val="19CC4735"/>
    <w:rsid w:val="19DE0B2D"/>
    <w:rsid w:val="19F571BC"/>
    <w:rsid w:val="1AB01EAD"/>
    <w:rsid w:val="1B1961DC"/>
    <w:rsid w:val="1B525067"/>
    <w:rsid w:val="1B7D349C"/>
    <w:rsid w:val="1CBC55C8"/>
    <w:rsid w:val="1CCD5DAF"/>
    <w:rsid w:val="1D38475C"/>
    <w:rsid w:val="1D5F5C2B"/>
    <w:rsid w:val="1DA90EF7"/>
    <w:rsid w:val="1DB43A43"/>
    <w:rsid w:val="1DCB21D4"/>
    <w:rsid w:val="1E0A23A7"/>
    <w:rsid w:val="1E1317B1"/>
    <w:rsid w:val="1F0B16B4"/>
    <w:rsid w:val="1F582060"/>
    <w:rsid w:val="1F6B05D8"/>
    <w:rsid w:val="1FAF743E"/>
    <w:rsid w:val="208D7CEB"/>
    <w:rsid w:val="20EC1D5F"/>
    <w:rsid w:val="21B315BD"/>
    <w:rsid w:val="21DA3B62"/>
    <w:rsid w:val="22490ADD"/>
    <w:rsid w:val="228D3F56"/>
    <w:rsid w:val="23D87181"/>
    <w:rsid w:val="24C04B93"/>
    <w:rsid w:val="2541315E"/>
    <w:rsid w:val="25C217AA"/>
    <w:rsid w:val="262B7F80"/>
    <w:rsid w:val="26460DAB"/>
    <w:rsid w:val="265856F4"/>
    <w:rsid w:val="26ED7F0B"/>
    <w:rsid w:val="27560C72"/>
    <w:rsid w:val="278B626C"/>
    <w:rsid w:val="27E60854"/>
    <w:rsid w:val="283A3435"/>
    <w:rsid w:val="28CE3269"/>
    <w:rsid w:val="291F4E80"/>
    <w:rsid w:val="294C26C6"/>
    <w:rsid w:val="2968521F"/>
    <w:rsid w:val="29A01750"/>
    <w:rsid w:val="29B50527"/>
    <w:rsid w:val="29E57A9E"/>
    <w:rsid w:val="2A043133"/>
    <w:rsid w:val="2AE34C68"/>
    <w:rsid w:val="2AEB66DA"/>
    <w:rsid w:val="2B04697D"/>
    <w:rsid w:val="2B9B6934"/>
    <w:rsid w:val="2CFD0BD6"/>
    <w:rsid w:val="2D1E704D"/>
    <w:rsid w:val="2D590F9B"/>
    <w:rsid w:val="2D8657B1"/>
    <w:rsid w:val="2DB045D0"/>
    <w:rsid w:val="2DE23EA0"/>
    <w:rsid w:val="2E001C95"/>
    <w:rsid w:val="2E211BC4"/>
    <w:rsid w:val="2E315A77"/>
    <w:rsid w:val="2E9A4812"/>
    <w:rsid w:val="30A91533"/>
    <w:rsid w:val="30D206E6"/>
    <w:rsid w:val="30DC62BE"/>
    <w:rsid w:val="31BC4A9D"/>
    <w:rsid w:val="329B448B"/>
    <w:rsid w:val="32AD35F5"/>
    <w:rsid w:val="32DD0DA2"/>
    <w:rsid w:val="332F08A0"/>
    <w:rsid w:val="33BC5468"/>
    <w:rsid w:val="33BD7F4D"/>
    <w:rsid w:val="33CB0620"/>
    <w:rsid w:val="35244EDF"/>
    <w:rsid w:val="356E5D1C"/>
    <w:rsid w:val="358A0F6B"/>
    <w:rsid w:val="35DE50EB"/>
    <w:rsid w:val="36227677"/>
    <w:rsid w:val="368E213F"/>
    <w:rsid w:val="36BA3459"/>
    <w:rsid w:val="37930855"/>
    <w:rsid w:val="379737E2"/>
    <w:rsid w:val="387E3DD3"/>
    <w:rsid w:val="38AE7AFE"/>
    <w:rsid w:val="38B80AF8"/>
    <w:rsid w:val="38DB7B0F"/>
    <w:rsid w:val="38E172CD"/>
    <w:rsid w:val="38E178A5"/>
    <w:rsid w:val="39297D30"/>
    <w:rsid w:val="39487434"/>
    <w:rsid w:val="39F35100"/>
    <w:rsid w:val="39F52812"/>
    <w:rsid w:val="39F83BA2"/>
    <w:rsid w:val="3A0B383B"/>
    <w:rsid w:val="3A6A6A8D"/>
    <w:rsid w:val="3ABC58B9"/>
    <w:rsid w:val="3ADD52B1"/>
    <w:rsid w:val="3C7F7233"/>
    <w:rsid w:val="3C805EED"/>
    <w:rsid w:val="3CC07842"/>
    <w:rsid w:val="3D434F2A"/>
    <w:rsid w:val="3E231DE6"/>
    <w:rsid w:val="3E773FD6"/>
    <w:rsid w:val="3E7F5511"/>
    <w:rsid w:val="3E8E4028"/>
    <w:rsid w:val="3EBE4DA5"/>
    <w:rsid w:val="3F8D6F7E"/>
    <w:rsid w:val="3F91472C"/>
    <w:rsid w:val="40135D1F"/>
    <w:rsid w:val="403A24E9"/>
    <w:rsid w:val="40E17E58"/>
    <w:rsid w:val="41274886"/>
    <w:rsid w:val="41590DEA"/>
    <w:rsid w:val="42001066"/>
    <w:rsid w:val="42010539"/>
    <w:rsid w:val="426160E1"/>
    <w:rsid w:val="428A77D7"/>
    <w:rsid w:val="43182E5B"/>
    <w:rsid w:val="43553283"/>
    <w:rsid w:val="43C34528"/>
    <w:rsid w:val="43C51EAE"/>
    <w:rsid w:val="44841170"/>
    <w:rsid w:val="44871D50"/>
    <w:rsid w:val="4518650F"/>
    <w:rsid w:val="458E3F58"/>
    <w:rsid w:val="45D87E03"/>
    <w:rsid w:val="467042F0"/>
    <w:rsid w:val="47CA231C"/>
    <w:rsid w:val="48190685"/>
    <w:rsid w:val="481B4602"/>
    <w:rsid w:val="4979410A"/>
    <w:rsid w:val="4AFE2362"/>
    <w:rsid w:val="4B3B5E96"/>
    <w:rsid w:val="4B614814"/>
    <w:rsid w:val="4BC94143"/>
    <w:rsid w:val="4C2A1486"/>
    <w:rsid w:val="4D053F86"/>
    <w:rsid w:val="4D314BBE"/>
    <w:rsid w:val="4E0D7280"/>
    <w:rsid w:val="4EDF7AC0"/>
    <w:rsid w:val="4F2D389C"/>
    <w:rsid w:val="4F4D64D1"/>
    <w:rsid w:val="50927AEE"/>
    <w:rsid w:val="50DD5382"/>
    <w:rsid w:val="51865BC8"/>
    <w:rsid w:val="518D5242"/>
    <w:rsid w:val="51B10D0D"/>
    <w:rsid w:val="51BB2738"/>
    <w:rsid w:val="51C27118"/>
    <w:rsid w:val="52667542"/>
    <w:rsid w:val="52A214D7"/>
    <w:rsid w:val="52DE629D"/>
    <w:rsid w:val="53222BF2"/>
    <w:rsid w:val="53D849E0"/>
    <w:rsid w:val="53E40332"/>
    <w:rsid w:val="5450650B"/>
    <w:rsid w:val="55166AB7"/>
    <w:rsid w:val="559F21FB"/>
    <w:rsid w:val="5609650D"/>
    <w:rsid w:val="564B4A89"/>
    <w:rsid w:val="56C41C35"/>
    <w:rsid w:val="577B69CD"/>
    <w:rsid w:val="57B056BB"/>
    <w:rsid w:val="5811315F"/>
    <w:rsid w:val="587347C8"/>
    <w:rsid w:val="58DF3CDA"/>
    <w:rsid w:val="59D22914"/>
    <w:rsid w:val="5A37638D"/>
    <w:rsid w:val="5A67193E"/>
    <w:rsid w:val="5B472C29"/>
    <w:rsid w:val="5C280203"/>
    <w:rsid w:val="5C6E23D5"/>
    <w:rsid w:val="5CEE6E9E"/>
    <w:rsid w:val="5D470CC6"/>
    <w:rsid w:val="5DA4277D"/>
    <w:rsid w:val="5E67236C"/>
    <w:rsid w:val="5EC02A13"/>
    <w:rsid w:val="5F505E7D"/>
    <w:rsid w:val="5FA8547F"/>
    <w:rsid w:val="608D72E4"/>
    <w:rsid w:val="60DB22F7"/>
    <w:rsid w:val="60F20D09"/>
    <w:rsid w:val="611301D5"/>
    <w:rsid w:val="614916CC"/>
    <w:rsid w:val="61652CA5"/>
    <w:rsid w:val="61886D6E"/>
    <w:rsid w:val="61A85D7F"/>
    <w:rsid w:val="623F6C1C"/>
    <w:rsid w:val="625B7BE2"/>
    <w:rsid w:val="62BE5E7B"/>
    <w:rsid w:val="62CB6FD4"/>
    <w:rsid w:val="62DE4C8B"/>
    <w:rsid w:val="63064736"/>
    <w:rsid w:val="63404872"/>
    <w:rsid w:val="636968D2"/>
    <w:rsid w:val="636C1447"/>
    <w:rsid w:val="64A753DE"/>
    <w:rsid w:val="65592258"/>
    <w:rsid w:val="655C7C72"/>
    <w:rsid w:val="656C75D1"/>
    <w:rsid w:val="65A654F6"/>
    <w:rsid w:val="65B3359F"/>
    <w:rsid w:val="65F30CEE"/>
    <w:rsid w:val="6679243F"/>
    <w:rsid w:val="667D3910"/>
    <w:rsid w:val="66C6506E"/>
    <w:rsid w:val="683C4FE8"/>
    <w:rsid w:val="684B1E71"/>
    <w:rsid w:val="68850F78"/>
    <w:rsid w:val="68973053"/>
    <w:rsid w:val="68E744EF"/>
    <w:rsid w:val="692F1C36"/>
    <w:rsid w:val="694B7343"/>
    <w:rsid w:val="695D4F4F"/>
    <w:rsid w:val="69B121D9"/>
    <w:rsid w:val="69D3112A"/>
    <w:rsid w:val="6A11608F"/>
    <w:rsid w:val="6A204646"/>
    <w:rsid w:val="6ACF439F"/>
    <w:rsid w:val="6AD265B6"/>
    <w:rsid w:val="6BBF10AD"/>
    <w:rsid w:val="6BC304ED"/>
    <w:rsid w:val="6BD34A33"/>
    <w:rsid w:val="6C2D1EA2"/>
    <w:rsid w:val="6C5D0963"/>
    <w:rsid w:val="6CC9229E"/>
    <w:rsid w:val="6D421DF9"/>
    <w:rsid w:val="6D8C7FB2"/>
    <w:rsid w:val="6D9B1B17"/>
    <w:rsid w:val="6DAA4E94"/>
    <w:rsid w:val="6DDE7E12"/>
    <w:rsid w:val="6DFF6E5D"/>
    <w:rsid w:val="6E3C4BBC"/>
    <w:rsid w:val="6E987373"/>
    <w:rsid w:val="6F3A60CE"/>
    <w:rsid w:val="6F837804"/>
    <w:rsid w:val="6FED3CA4"/>
    <w:rsid w:val="701E0FDD"/>
    <w:rsid w:val="702B5A60"/>
    <w:rsid w:val="710A5DD1"/>
    <w:rsid w:val="71294167"/>
    <w:rsid w:val="714135F7"/>
    <w:rsid w:val="716F4E55"/>
    <w:rsid w:val="718F5448"/>
    <w:rsid w:val="71F6530E"/>
    <w:rsid w:val="72C32939"/>
    <w:rsid w:val="73071EB2"/>
    <w:rsid w:val="73561DFB"/>
    <w:rsid w:val="74E04228"/>
    <w:rsid w:val="74E83FF5"/>
    <w:rsid w:val="74F05D86"/>
    <w:rsid w:val="751C572D"/>
    <w:rsid w:val="75D33962"/>
    <w:rsid w:val="75D64F09"/>
    <w:rsid w:val="76156935"/>
    <w:rsid w:val="763242CF"/>
    <w:rsid w:val="777954C2"/>
    <w:rsid w:val="78170F3D"/>
    <w:rsid w:val="7830458B"/>
    <w:rsid w:val="78604C5C"/>
    <w:rsid w:val="78E75B05"/>
    <w:rsid w:val="79657123"/>
    <w:rsid w:val="798528C0"/>
    <w:rsid w:val="79C632EC"/>
    <w:rsid w:val="7A016DC1"/>
    <w:rsid w:val="7A820598"/>
    <w:rsid w:val="7A9976BA"/>
    <w:rsid w:val="7ACD1FA7"/>
    <w:rsid w:val="7AD55145"/>
    <w:rsid w:val="7B036999"/>
    <w:rsid w:val="7B7C7FC2"/>
    <w:rsid w:val="7BAD283F"/>
    <w:rsid w:val="7C1168B9"/>
    <w:rsid w:val="7C3E7FF2"/>
    <w:rsid w:val="7C635F46"/>
    <w:rsid w:val="7C971F8C"/>
    <w:rsid w:val="7D0C0697"/>
    <w:rsid w:val="7D6373D0"/>
    <w:rsid w:val="7D765264"/>
    <w:rsid w:val="7DC161E9"/>
    <w:rsid w:val="7E3E644B"/>
    <w:rsid w:val="7E4E45CD"/>
    <w:rsid w:val="7E5E779D"/>
    <w:rsid w:val="7EA55B05"/>
    <w:rsid w:val="7EEF1AFD"/>
    <w:rsid w:val="7F053138"/>
    <w:rsid w:val="7F542916"/>
    <w:rsid w:val="7FAC39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ascii="宋体" w:hAnsi="华文中宋"/>
      <w:b/>
      <w:sz w:val="30"/>
      <w:szCs w:val="28"/>
    </w:rPr>
  </w:style>
  <w:style w:type="paragraph" w:styleId="3">
    <w:name w:val="Date"/>
    <w:basedOn w:val="1"/>
    <w:next w:val="1"/>
    <w:link w:val="27"/>
    <w:semiHidden/>
    <w:unhideWhenUsed/>
    <w:qFormat/>
    <w:uiPriority w:val="99"/>
    <w:pPr>
      <w:ind w:left="100" w:leftChars="2500"/>
    </w:pPr>
  </w:style>
  <w:style w:type="paragraph" w:styleId="4">
    <w:name w:val="Balloon Text"/>
    <w:basedOn w:val="1"/>
    <w:link w:val="24"/>
    <w:semiHidden/>
    <w:unhideWhenUsed/>
    <w:qFormat/>
    <w:uiPriority w:val="99"/>
    <w:rPr>
      <w:sz w:val="18"/>
      <w:szCs w:val="18"/>
    </w:rPr>
  </w:style>
  <w:style w:type="paragraph" w:styleId="5">
    <w:name w:val="footer"/>
    <w:basedOn w:val="1"/>
    <w:link w:val="22"/>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jc w:val="left"/>
    </w:pPr>
    <w:rPr>
      <w:rFonts w:cs="Times New Roman"/>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styleId="12">
    <w:name w:val="page number"/>
    <w:qFormat/>
    <w:uiPriority w:val="0"/>
    <w:rPr>
      <w:rFonts w:cs="Times New Roman"/>
    </w:rPr>
  </w:style>
  <w:style w:type="character" w:styleId="13">
    <w:name w:val="FollowedHyperlink"/>
    <w:basedOn w:val="10"/>
    <w:semiHidden/>
    <w:unhideWhenUsed/>
    <w:qFormat/>
    <w:uiPriority w:val="99"/>
    <w:rPr>
      <w:rFonts w:hint="eastAsia" w:ascii="宋体" w:hAnsi="宋体" w:eastAsia="宋体" w:cs="宋体"/>
      <w:color w:val="141414"/>
      <w:u w:val="none"/>
    </w:rPr>
  </w:style>
  <w:style w:type="character" w:styleId="14">
    <w:name w:val="Emphasis"/>
    <w:basedOn w:val="10"/>
    <w:qFormat/>
    <w:uiPriority w:val="20"/>
    <w:rPr>
      <w:color w:val="CC0000"/>
    </w:rPr>
  </w:style>
  <w:style w:type="character" w:styleId="15">
    <w:name w:val="HTML Definition"/>
    <w:basedOn w:val="10"/>
    <w:semiHidden/>
    <w:unhideWhenUsed/>
    <w:qFormat/>
    <w:uiPriority w:val="99"/>
    <w:rPr>
      <w:i/>
    </w:rPr>
  </w:style>
  <w:style w:type="character" w:styleId="16">
    <w:name w:val="HTML Acronym"/>
    <w:basedOn w:val="10"/>
    <w:semiHidden/>
    <w:unhideWhenUsed/>
    <w:qFormat/>
    <w:uiPriority w:val="99"/>
  </w:style>
  <w:style w:type="character" w:styleId="17">
    <w:name w:val="HTML Variable"/>
    <w:basedOn w:val="10"/>
    <w:semiHidden/>
    <w:unhideWhenUsed/>
    <w:qFormat/>
    <w:uiPriority w:val="99"/>
    <w:rPr>
      <w:i/>
    </w:rPr>
  </w:style>
  <w:style w:type="character" w:styleId="18">
    <w:name w:val="Hyperlink"/>
    <w:basedOn w:val="10"/>
    <w:unhideWhenUsed/>
    <w:qFormat/>
    <w:uiPriority w:val="99"/>
    <w:rPr>
      <w:rFonts w:hint="eastAsia" w:ascii="宋体" w:hAnsi="宋体" w:eastAsia="宋体" w:cs="宋体"/>
      <w:color w:val="141414"/>
      <w:u w:val="none"/>
    </w:rPr>
  </w:style>
  <w:style w:type="character" w:styleId="19">
    <w:name w:val="HTML Code"/>
    <w:basedOn w:val="10"/>
    <w:semiHidden/>
    <w:unhideWhenUsed/>
    <w:qFormat/>
    <w:uiPriority w:val="99"/>
    <w:rPr>
      <w:rFonts w:ascii="Courier New" w:hAnsi="Courier New"/>
      <w:sz w:val="18"/>
      <w:szCs w:val="18"/>
    </w:rPr>
  </w:style>
  <w:style w:type="character" w:styleId="20">
    <w:name w:val="HTML Cite"/>
    <w:basedOn w:val="10"/>
    <w:semiHidden/>
    <w:unhideWhenUsed/>
    <w:qFormat/>
    <w:uiPriority w:val="99"/>
    <w:rPr>
      <w:color w:val="008000"/>
    </w:rPr>
  </w:style>
  <w:style w:type="character" w:customStyle="1" w:styleId="21">
    <w:name w:val="页眉 字符"/>
    <w:basedOn w:val="10"/>
    <w:link w:val="6"/>
    <w:qFormat/>
    <w:uiPriority w:val="0"/>
    <w:rPr>
      <w:sz w:val="18"/>
      <w:szCs w:val="18"/>
    </w:rPr>
  </w:style>
  <w:style w:type="character" w:customStyle="1" w:styleId="22">
    <w:name w:val="页脚 字符"/>
    <w:basedOn w:val="10"/>
    <w:link w:val="5"/>
    <w:qFormat/>
    <w:uiPriority w:val="99"/>
    <w:rPr>
      <w:sz w:val="18"/>
      <w:szCs w:val="18"/>
    </w:rPr>
  </w:style>
  <w:style w:type="paragraph" w:styleId="23">
    <w:name w:val="List Paragraph"/>
    <w:basedOn w:val="1"/>
    <w:qFormat/>
    <w:uiPriority w:val="34"/>
    <w:pPr>
      <w:ind w:firstLine="420" w:firstLineChars="200"/>
    </w:pPr>
  </w:style>
  <w:style w:type="character" w:customStyle="1" w:styleId="24">
    <w:name w:val="批注框文本 字符"/>
    <w:basedOn w:val="10"/>
    <w:link w:val="4"/>
    <w:semiHidden/>
    <w:qFormat/>
    <w:uiPriority w:val="99"/>
    <w:rPr>
      <w:sz w:val="18"/>
      <w:szCs w:val="18"/>
    </w:rPr>
  </w:style>
  <w:style w:type="character" w:customStyle="1" w:styleId="25">
    <w:name w:val="hover13"/>
    <w:basedOn w:val="10"/>
    <w:qFormat/>
    <w:uiPriority w:val="0"/>
    <w:rPr>
      <w:u w:val="single"/>
    </w:rPr>
  </w:style>
  <w:style w:type="character" w:customStyle="1" w:styleId="26">
    <w:name w:val="moduletitle_menuitemsel"/>
    <w:basedOn w:val="10"/>
    <w:qFormat/>
    <w:uiPriority w:val="0"/>
    <w:rPr>
      <w:rFonts w:ascii="Tahoma" w:hAnsi="Tahoma" w:eastAsia="Tahoma" w:cs="Tahoma"/>
      <w:b/>
      <w:color w:val="000000"/>
      <w:sz w:val="18"/>
      <w:szCs w:val="18"/>
    </w:rPr>
  </w:style>
  <w:style w:type="character" w:customStyle="1" w:styleId="27">
    <w:name w:val="日期 字符"/>
    <w:basedOn w:val="10"/>
    <w:link w:val="3"/>
    <w:semiHidden/>
    <w:qFormat/>
    <w:uiPriority w:val="99"/>
    <w:rPr>
      <w:rFonts w:asciiTheme="minorHAnsi" w:hAnsiTheme="minorHAnsi" w:eastAsiaTheme="minorEastAsia" w:cstheme="minorBidi"/>
      <w:kern w:val="2"/>
      <w:sz w:val="21"/>
      <w:szCs w:val="22"/>
    </w:rPr>
  </w:style>
  <w:style w:type="paragraph" w:customStyle="1" w:styleId="28">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未处理的提及1"/>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917FA-CF8C-4695-8FA6-97BDEE2874F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3760</Words>
  <Characters>3789</Characters>
  <Lines>27</Lines>
  <Paragraphs>7</Paragraphs>
  <TotalTime>4748</TotalTime>
  <ScaleCrop>false</ScaleCrop>
  <LinksUpToDate>false</LinksUpToDate>
  <CharactersWithSpaces>3796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2018-06-14T07:55:00Z</dcterms:created>
  <dc:creator>LFY</dc:creator>
  <cp:lastModifiedBy>钱璟</cp:lastModifiedBy>
  <cp:lastPrinted>2021-10-13T08:23:00Z</cp:lastPrinted>
  <dcterms:modified xsi:type="dcterms:W3CDTF">2023-10-12T07:17:39Z</dcterms:modified>
  <cp:revision>568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7890320F31104B20A04716D5F5B7723F_12</vt:lpwstr>
  </property>
</Properties>
</file>